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15" w:rsidRDefault="00AE3B71" w:rsidP="00511E57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bookmarkStart w:id="0" w:name="_GoBack"/>
      <w:bookmarkEnd w:id="0"/>
      <w:r w:rsidRPr="00F87759">
        <w:rPr>
          <w:noProof/>
          <w:sz w:val="28"/>
          <w:szCs w:val="28"/>
        </w:rPr>
        <w:drawing>
          <wp:inline distT="0" distB="0" distL="0" distR="0">
            <wp:extent cx="619125" cy="962025"/>
            <wp:effectExtent l="0" t="0" r="9525" b="9525"/>
            <wp:docPr id="1" name="Рисунок 1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57" w:rsidRPr="00334358" w:rsidRDefault="00511E57" w:rsidP="00511E57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34358">
        <w:rPr>
          <w:b/>
          <w:bCs/>
          <w:iCs/>
          <w:sz w:val="28"/>
          <w:szCs w:val="28"/>
        </w:rPr>
        <w:t xml:space="preserve">АДМИНИСТРАЦИЯ </w:t>
      </w:r>
      <w:r>
        <w:rPr>
          <w:b/>
          <w:bCs/>
          <w:iCs/>
          <w:sz w:val="28"/>
          <w:szCs w:val="28"/>
        </w:rPr>
        <w:t>БУРУНЧИНСКОГО</w:t>
      </w:r>
      <w:r w:rsidRPr="00334358">
        <w:rPr>
          <w:b/>
          <w:bCs/>
          <w:iCs/>
          <w:sz w:val="28"/>
          <w:szCs w:val="28"/>
        </w:rPr>
        <w:t xml:space="preserve"> СЕЛЬСОВЕТА </w:t>
      </w:r>
    </w:p>
    <w:p w:rsidR="00511E57" w:rsidRPr="00334358" w:rsidRDefault="00511E57" w:rsidP="00511E57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БУРУНЧИНСКОГО СЕЛЬСОВЕТА</w:t>
      </w:r>
      <w:r w:rsidRPr="00334358">
        <w:rPr>
          <w:b/>
          <w:bCs/>
          <w:iCs/>
          <w:sz w:val="28"/>
          <w:szCs w:val="28"/>
        </w:rPr>
        <w:t xml:space="preserve"> ОРЕНБУРГСКОЙ ОБЛАСТИ</w:t>
      </w:r>
    </w:p>
    <w:p w:rsidR="00511E57" w:rsidRPr="00334358" w:rsidRDefault="00511E57" w:rsidP="00511E57">
      <w:pPr>
        <w:jc w:val="center"/>
        <w:rPr>
          <w:sz w:val="28"/>
          <w:szCs w:val="28"/>
        </w:rPr>
      </w:pPr>
    </w:p>
    <w:p w:rsidR="00511E57" w:rsidRPr="00334358" w:rsidRDefault="00511E57" w:rsidP="00511E57">
      <w:pPr>
        <w:jc w:val="center"/>
        <w:rPr>
          <w:b/>
          <w:sz w:val="28"/>
          <w:szCs w:val="28"/>
        </w:rPr>
      </w:pPr>
      <w:r w:rsidRPr="00334358">
        <w:rPr>
          <w:b/>
          <w:sz w:val="28"/>
          <w:szCs w:val="28"/>
        </w:rPr>
        <w:t>П О С Т А Н О В Л Е Н И Е</w:t>
      </w:r>
    </w:p>
    <w:p w:rsidR="00511E57" w:rsidRPr="00334358" w:rsidRDefault="00511E57" w:rsidP="00511E5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34358">
        <w:rPr>
          <w:b/>
          <w:sz w:val="28"/>
          <w:szCs w:val="28"/>
        </w:rPr>
        <w:t>____________________________________________________________________</w:t>
      </w:r>
    </w:p>
    <w:p w:rsidR="00511E57" w:rsidRPr="00334358" w:rsidRDefault="00511E57" w:rsidP="00511E57">
      <w:pPr>
        <w:ind w:right="283"/>
        <w:rPr>
          <w:sz w:val="28"/>
          <w:szCs w:val="28"/>
        </w:rPr>
      </w:pPr>
    </w:p>
    <w:p w:rsidR="00511E57" w:rsidRPr="00334358" w:rsidRDefault="00511E57" w:rsidP="00511E5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8"/>
          <w:szCs w:val="28"/>
        </w:rPr>
      </w:pPr>
      <w:r w:rsidRPr="00334358">
        <w:rPr>
          <w:sz w:val="28"/>
          <w:szCs w:val="28"/>
        </w:rPr>
        <w:t>29.12.2020</w:t>
      </w:r>
      <w:r w:rsidRPr="00334358">
        <w:rPr>
          <w:sz w:val="28"/>
          <w:szCs w:val="28"/>
        </w:rPr>
        <w:tab/>
        <w:t xml:space="preserve">                             с. </w:t>
      </w:r>
      <w:r>
        <w:rPr>
          <w:sz w:val="28"/>
          <w:szCs w:val="28"/>
        </w:rPr>
        <w:t>Бурунча</w:t>
      </w:r>
      <w:r w:rsidRPr="00334358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53</w:t>
      </w:r>
      <w:r w:rsidRPr="00334358">
        <w:rPr>
          <w:sz w:val="28"/>
          <w:szCs w:val="28"/>
        </w:rPr>
        <w:t>-п</w:t>
      </w:r>
    </w:p>
    <w:p w:rsidR="00511E57" w:rsidRPr="00511E57" w:rsidRDefault="00511E57" w:rsidP="00511E57">
      <w:pPr>
        <w:jc w:val="center"/>
        <w:rPr>
          <w:b/>
          <w:sz w:val="28"/>
          <w:szCs w:val="28"/>
        </w:rPr>
      </w:pPr>
    </w:p>
    <w:p w:rsidR="00511E57" w:rsidRPr="00511E57" w:rsidRDefault="00511E57" w:rsidP="00511E57">
      <w:pPr>
        <w:jc w:val="center"/>
        <w:rPr>
          <w:b/>
          <w:sz w:val="28"/>
          <w:szCs w:val="28"/>
        </w:rPr>
      </w:pPr>
      <w:r w:rsidRPr="00511E57">
        <w:rPr>
          <w:b/>
          <w:sz w:val="28"/>
          <w:szCs w:val="28"/>
        </w:rPr>
        <w:t xml:space="preserve">Об утверждении  Порядка  размещения сведений о доходах, </w:t>
      </w:r>
    </w:p>
    <w:p w:rsidR="00511E57" w:rsidRPr="00511E57" w:rsidRDefault="00511E57" w:rsidP="00511E57">
      <w:pPr>
        <w:jc w:val="center"/>
        <w:rPr>
          <w:b/>
          <w:sz w:val="28"/>
          <w:szCs w:val="28"/>
        </w:rPr>
      </w:pPr>
      <w:r w:rsidRPr="00511E57">
        <w:rPr>
          <w:b/>
          <w:sz w:val="28"/>
          <w:szCs w:val="28"/>
        </w:rPr>
        <w:t>расходах, об имуществе и обязательствах имущественного характера муниципальных служащих муниципального образования Бурунчинский сельсовет Саракташского района Оренбургской области и руководителей муниципальных учреждений,  их супруги (супруга) и несовершеннолетних детей на официальном сайте администрации муниципального образования Бурунчинский сельсовет и предоставления этих сведений средствам массовой информации для опубликования</w:t>
      </w:r>
    </w:p>
    <w:p w:rsidR="00511E57" w:rsidRDefault="00511E57" w:rsidP="00511E57">
      <w:pPr>
        <w:rPr>
          <w:sz w:val="28"/>
          <w:szCs w:val="28"/>
        </w:rPr>
      </w:pPr>
    </w:p>
    <w:p w:rsidR="00511E57" w:rsidRPr="00A42FD6" w:rsidRDefault="00511E57" w:rsidP="00511E57">
      <w:pPr>
        <w:tabs>
          <w:tab w:val="left" w:pos="1100"/>
        </w:tabs>
        <w:ind w:firstLine="720"/>
        <w:jc w:val="both"/>
        <w:rPr>
          <w:sz w:val="28"/>
          <w:szCs w:val="28"/>
        </w:rPr>
      </w:pPr>
      <w:r w:rsidRPr="00320BD8">
        <w:rPr>
          <w:color w:val="2D2D2D"/>
          <w:spacing w:val="2"/>
          <w:sz w:val="28"/>
          <w:szCs w:val="28"/>
          <w:shd w:val="clear" w:color="auto" w:fill="FFFFFF"/>
        </w:rPr>
        <w:t xml:space="preserve">В </w:t>
      </w:r>
      <w:r w:rsidRPr="00320BD8">
        <w:rPr>
          <w:spacing w:val="2"/>
          <w:sz w:val="28"/>
          <w:szCs w:val="28"/>
          <w:shd w:val="clear" w:color="auto" w:fill="FFFFFF"/>
        </w:rPr>
        <w:t>соответствии с </w:t>
      </w:r>
      <w:hyperlink r:id="rId8" w:history="1">
        <w:r w:rsidRPr="00A42FD6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Федеральными законами от 02.03.2007 N 25-ФЗ "О муниципальной службе в Российской Федерации"</w:t>
        </w:r>
      </w:hyperlink>
      <w:r w:rsidRPr="00A42FD6">
        <w:rPr>
          <w:spacing w:val="2"/>
          <w:sz w:val="28"/>
          <w:szCs w:val="28"/>
          <w:shd w:val="clear" w:color="auto" w:fill="FFFFFF"/>
        </w:rPr>
        <w:t>, </w:t>
      </w:r>
      <w:hyperlink r:id="rId9" w:history="1">
        <w:r w:rsidRPr="00A42FD6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25.12.2008 N 273-ФЗ "О противодействии коррупции"</w:t>
        </w:r>
      </w:hyperlink>
      <w:r w:rsidRPr="00A42FD6">
        <w:rPr>
          <w:spacing w:val="2"/>
          <w:sz w:val="28"/>
          <w:szCs w:val="28"/>
          <w:shd w:val="clear" w:color="auto" w:fill="FFFFFF"/>
        </w:rPr>
        <w:t>, </w:t>
      </w:r>
      <w:hyperlink r:id="rId10" w:history="1">
        <w:r w:rsidRPr="00A42FD6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от 03.12.2012 N 230-ФЗ "О контроле за соответствием расходов лиц, замещающих государственные должности, и иных лиц их доходам"</w:t>
        </w:r>
      </w:hyperlink>
      <w:r w:rsidRPr="00A42FD6">
        <w:rPr>
          <w:spacing w:val="2"/>
          <w:sz w:val="28"/>
          <w:szCs w:val="28"/>
          <w:shd w:val="clear" w:color="auto" w:fill="FFFFFF"/>
        </w:rPr>
        <w:t>, </w:t>
      </w:r>
      <w:hyperlink r:id="rId11" w:history="1">
        <w:r w:rsidRPr="00A42FD6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Указом Президента Российской Федерации от 08.07.2013 N 613 "Вопросы противодействия коррупции"</w:t>
        </w:r>
      </w:hyperlink>
      <w:r w:rsidRPr="00A42FD6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,</w:t>
      </w:r>
      <w:r w:rsidRPr="00A42FD6">
        <w:rPr>
          <w:sz w:val="28"/>
          <w:szCs w:val="28"/>
        </w:rPr>
        <w:t xml:space="preserve">», руководствуясь Уставом муниципального образования </w:t>
      </w:r>
      <w:r>
        <w:rPr>
          <w:sz w:val="28"/>
          <w:szCs w:val="28"/>
        </w:rPr>
        <w:t>Бурунчинский сельсовет</w:t>
      </w:r>
      <w:r w:rsidRPr="00A42FD6">
        <w:rPr>
          <w:sz w:val="28"/>
          <w:szCs w:val="28"/>
        </w:rPr>
        <w:t xml:space="preserve"> Оренбургской области</w:t>
      </w:r>
    </w:p>
    <w:p w:rsidR="00511E57" w:rsidRDefault="00511E57" w:rsidP="00511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Утвердить:</w:t>
      </w:r>
    </w:p>
    <w:p w:rsidR="00511E57" w:rsidRPr="00A42FD6" w:rsidRDefault="00511E57" w:rsidP="00511E57">
      <w:pPr>
        <w:jc w:val="both"/>
        <w:rPr>
          <w:sz w:val="28"/>
          <w:szCs w:val="28"/>
        </w:rPr>
      </w:pPr>
      <w:r w:rsidRPr="00A42FD6">
        <w:rPr>
          <w:sz w:val="28"/>
          <w:szCs w:val="28"/>
        </w:rPr>
        <w:t xml:space="preserve">            1.1. Порядок размещения сведений о доходах, расходах, об имуществе и обязательствах имущественного характера муниципальных служащих муниципального образования</w:t>
      </w:r>
      <w:r>
        <w:rPr>
          <w:sz w:val="28"/>
          <w:szCs w:val="28"/>
        </w:rPr>
        <w:t xml:space="preserve"> Бурунчинский сельсовет</w:t>
      </w:r>
      <w:r w:rsidRPr="00A42FD6">
        <w:rPr>
          <w:sz w:val="28"/>
          <w:szCs w:val="28"/>
        </w:rPr>
        <w:t xml:space="preserve"> и руководителей муниципальных учреждений,  их супруги (супруга) и несовершеннолетних детей на официальном сайте администрации муниципального образования </w:t>
      </w:r>
      <w:r>
        <w:rPr>
          <w:sz w:val="28"/>
          <w:szCs w:val="28"/>
        </w:rPr>
        <w:t>Бурунчинский сельсовет</w:t>
      </w:r>
      <w:r w:rsidRPr="00A42FD6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 1. </w:t>
      </w:r>
    </w:p>
    <w:p w:rsidR="00511E57" w:rsidRPr="00A42FD6" w:rsidRDefault="00511E57" w:rsidP="00511E57">
      <w:pPr>
        <w:jc w:val="both"/>
        <w:rPr>
          <w:sz w:val="28"/>
          <w:szCs w:val="28"/>
        </w:rPr>
      </w:pPr>
      <w:r w:rsidRPr="00A42FD6">
        <w:rPr>
          <w:sz w:val="28"/>
          <w:szCs w:val="28"/>
        </w:rPr>
        <w:t xml:space="preserve">          1.2. Форму сведений о доходах, расходах, об имуществе и обязательствах имущественного характера, представленных муниципальными служащими муниципального образования</w:t>
      </w:r>
      <w:r>
        <w:rPr>
          <w:sz w:val="28"/>
          <w:szCs w:val="28"/>
        </w:rPr>
        <w:t xml:space="preserve"> Бурунчинский </w:t>
      </w:r>
      <w:r>
        <w:rPr>
          <w:sz w:val="28"/>
          <w:szCs w:val="28"/>
        </w:rPr>
        <w:lastRenderedPageBreak/>
        <w:t xml:space="preserve">сельсовет </w:t>
      </w:r>
      <w:r w:rsidRPr="00A42FD6">
        <w:rPr>
          <w:sz w:val="28"/>
          <w:szCs w:val="28"/>
        </w:rPr>
        <w:t>, руководителями  муниципальных учреждений и членов их семьи за отчетный период согласно приложению 2.</w:t>
      </w:r>
    </w:p>
    <w:p w:rsidR="00511E57" w:rsidRDefault="00511E57" w:rsidP="00511E57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           </w:t>
      </w:r>
    </w:p>
    <w:p w:rsidR="00511E57" w:rsidRDefault="00511E57" w:rsidP="00511E57">
      <w:pPr>
        <w:shd w:val="clear" w:color="auto" w:fill="FFFFFF"/>
        <w:jc w:val="both"/>
        <w:rPr>
          <w:sz w:val="28"/>
          <w:szCs w:val="28"/>
        </w:rPr>
      </w:pPr>
      <w:r w:rsidRPr="00320B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 Считать утратившими силу постановления администрации Бурунчинского сельсовета:</w:t>
      </w:r>
    </w:p>
    <w:p w:rsidR="00511E57" w:rsidRDefault="00511E57" w:rsidP="00511E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1E57">
        <w:rPr>
          <w:sz w:val="28"/>
          <w:szCs w:val="28"/>
        </w:rPr>
        <w:t>от 22.09.2014 № 51</w:t>
      </w:r>
      <w:r>
        <w:rPr>
          <w:sz w:val="28"/>
          <w:szCs w:val="28"/>
        </w:rPr>
        <w:t>-п «Об утверждении  Порядка  размещения сведений о доходах,  расходах, об имуществе и обязательствах имущественного характера отдельных категорий лиц органов местного самоуправления  муниципального образования Бурунчинский сельсовет и руководителей муниципальных учреждений,  их супруги (супруга) и несовершеннолетних детей на официальном сайте администрации муниципального образования Бурунчинский сельсовет и предоставления этих сведений средствам массовой информации для опубликования»;</w:t>
      </w:r>
    </w:p>
    <w:p w:rsidR="00511E57" w:rsidRPr="00511E57" w:rsidRDefault="00511E57" w:rsidP="00511E57">
      <w:pPr>
        <w:rPr>
          <w:sz w:val="28"/>
          <w:szCs w:val="28"/>
        </w:rPr>
      </w:pPr>
      <w:r w:rsidRPr="00511E57">
        <w:rPr>
          <w:sz w:val="28"/>
          <w:szCs w:val="28"/>
        </w:rPr>
        <w:t xml:space="preserve">- 18.05.2016 года № 48-п «О внесении изменений в постановление администрации </w:t>
      </w:r>
      <w:r>
        <w:rPr>
          <w:sz w:val="28"/>
          <w:szCs w:val="28"/>
        </w:rPr>
        <w:t>Бурунчинского сельсовета</w:t>
      </w:r>
      <w:r w:rsidRPr="00511E57">
        <w:rPr>
          <w:sz w:val="28"/>
          <w:szCs w:val="28"/>
        </w:rPr>
        <w:t xml:space="preserve"> от 18.05.2016 года № 48-п».</w:t>
      </w:r>
    </w:p>
    <w:p w:rsidR="00511E57" w:rsidRPr="00117686" w:rsidRDefault="00511E57" w:rsidP="00511E57">
      <w:pPr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</w:p>
    <w:p w:rsidR="00511E57" w:rsidRDefault="00511E57" w:rsidP="00511E57">
      <w:pPr>
        <w:ind w:firstLine="709"/>
        <w:jc w:val="both"/>
        <w:rPr>
          <w:sz w:val="28"/>
          <w:szCs w:val="28"/>
        </w:rPr>
      </w:pPr>
      <w:r w:rsidRPr="00CA072C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11E57" w:rsidRPr="00CA072C" w:rsidRDefault="00511E57" w:rsidP="00511E57">
      <w:pPr>
        <w:ind w:firstLine="709"/>
        <w:jc w:val="both"/>
        <w:rPr>
          <w:sz w:val="28"/>
          <w:szCs w:val="28"/>
        </w:rPr>
      </w:pPr>
      <w:r w:rsidRPr="00CA072C">
        <w:rPr>
          <w:sz w:val="28"/>
          <w:szCs w:val="28"/>
        </w:rPr>
        <w:t xml:space="preserve">3. </w:t>
      </w:r>
      <w:r w:rsidRPr="00CA072C">
        <w:rPr>
          <w:sz w:val="28"/>
        </w:rPr>
        <w:t xml:space="preserve">Настоящее постановление вступает в силу после его  обнародования и подлежит размещению на официальном сайте муниципального образования  </w:t>
      </w:r>
      <w:r>
        <w:rPr>
          <w:sz w:val="28"/>
        </w:rPr>
        <w:t>Бурунчинский</w:t>
      </w:r>
      <w:r w:rsidRPr="00CA072C">
        <w:rPr>
          <w:sz w:val="28"/>
        </w:rPr>
        <w:t xml:space="preserve"> сельсовет в сети Интернет.</w:t>
      </w:r>
    </w:p>
    <w:p w:rsidR="00511E57" w:rsidRPr="00CA072C" w:rsidRDefault="00511E57" w:rsidP="00511E57">
      <w:pPr>
        <w:jc w:val="both"/>
        <w:rPr>
          <w:sz w:val="28"/>
          <w:szCs w:val="28"/>
        </w:rPr>
      </w:pPr>
    </w:p>
    <w:p w:rsidR="00511E57" w:rsidRPr="00CA072C" w:rsidRDefault="00511E57" w:rsidP="00511E57">
      <w:pPr>
        <w:jc w:val="both"/>
        <w:rPr>
          <w:sz w:val="28"/>
          <w:szCs w:val="28"/>
        </w:rPr>
      </w:pPr>
    </w:p>
    <w:p w:rsidR="00511E57" w:rsidRPr="00CA072C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ВРИО главы</w:t>
      </w:r>
      <w:r w:rsidRPr="00CA072C">
        <w:rPr>
          <w:sz w:val="28"/>
          <w:szCs w:val="28"/>
        </w:rPr>
        <w:t xml:space="preserve"> сельсовета                                         </w:t>
      </w:r>
      <w:r>
        <w:rPr>
          <w:sz w:val="28"/>
          <w:szCs w:val="28"/>
        </w:rPr>
        <w:t xml:space="preserve">                   О.А. Дзюба</w:t>
      </w: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jc w:val="both"/>
        <w:rPr>
          <w:sz w:val="28"/>
          <w:szCs w:val="28"/>
        </w:rPr>
      </w:pPr>
    </w:p>
    <w:p w:rsidR="00511E57" w:rsidRDefault="00511E57" w:rsidP="00511E57">
      <w:pPr>
        <w:tabs>
          <w:tab w:val="left" w:pos="6480"/>
        </w:tabs>
        <w:rPr>
          <w:sz w:val="28"/>
          <w:szCs w:val="28"/>
        </w:rPr>
      </w:pPr>
    </w:p>
    <w:p w:rsidR="00511E57" w:rsidRDefault="00511E57" w:rsidP="00511E57">
      <w:pPr>
        <w:tabs>
          <w:tab w:val="left" w:pos="6480"/>
        </w:tabs>
        <w:rPr>
          <w:sz w:val="28"/>
          <w:szCs w:val="28"/>
        </w:rPr>
      </w:pPr>
    </w:p>
    <w:p w:rsidR="00511E57" w:rsidRDefault="00511E57" w:rsidP="00511E57">
      <w:pPr>
        <w:tabs>
          <w:tab w:val="left" w:pos="64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11E57" w:rsidRDefault="00511E57" w:rsidP="00511E57">
      <w:pPr>
        <w:tabs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            </w:t>
      </w:r>
    </w:p>
    <w:p w:rsidR="00511E57" w:rsidRDefault="00511E57" w:rsidP="00511E57">
      <w:pPr>
        <w:tabs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ab/>
        <w:t>администрации района</w:t>
      </w:r>
    </w:p>
    <w:p w:rsidR="00511E57" w:rsidRDefault="00511E57" w:rsidP="00511E57">
      <w:pPr>
        <w:tabs>
          <w:tab w:val="left" w:pos="57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Pr="00334358">
        <w:rPr>
          <w:sz w:val="28"/>
          <w:szCs w:val="28"/>
        </w:rPr>
        <w:t>29.12.2020</w:t>
      </w:r>
      <w:r>
        <w:rPr>
          <w:sz w:val="28"/>
          <w:szCs w:val="28"/>
        </w:rPr>
        <w:t xml:space="preserve">  № 53</w:t>
      </w:r>
    </w:p>
    <w:p w:rsidR="00511E57" w:rsidRPr="007F6C8A" w:rsidRDefault="00511E57" w:rsidP="00511E57">
      <w:pPr>
        <w:tabs>
          <w:tab w:val="left" w:pos="5740"/>
        </w:tabs>
        <w:rPr>
          <w:sz w:val="28"/>
          <w:szCs w:val="28"/>
          <w:u w:val="single"/>
        </w:rPr>
      </w:pPr>
    </w:p>
    <w:p w:rsidR="00511E57" w:rsidRDefault="00511E57" w:rsidP="00511E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Р Я Д О К</w:t>
      </w:r>
    </w:p>
    <w:p w:rsidR="00511E57" w:rsidRDefault="00511E57" w:rsidP="00511E5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</w:t>
      </w:r>
      <w:r w:rsidRPr="00032B1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муниципального образования  Бурунчинский сельсовет и руководителей муниципальных учреждений,  их супруги (супруга) и несовершеннолетних детей на официальном сайте администрации муниципального образования Бурунчинский сельсовет и предоставления</w:t>
      </w:r>
    </w:p>
    <w:p w:rsidR="00511E57" w:rsidRDefault="00511E57" w:rsidP="00511E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этих сведений средствам массовой информации для опубликования</w:t>
      </w:r>
    </w:p>
    <w:p w:rsidR="00511E57" w:rsidRDefault="00511E57" w:rsidP="00511E57">
      <w:pPr>
        <w:jc w:val="center"/>
        <w:rPr>
          <w:sz w:val="28"/>
          <w:szCs w:val="28"/>
        </w:rPr>
      </w:pPr>
    </w:p>
    <w:p w:rsidR="00511E57" w:rsidRPr="00166379" w:rsidRDefault="00511E57" w:rsidP="00511E5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6379">
        <w:rPr>
          <w:rFonts w:eastAsia="Calibri"/>
          <w:bCs/>
          <w:sz w:val="28"/>
          <w:szCs w:val="28"/>
        </w:rPr>
        <w:t>Настоящий Порядок устанавливает процедуру размещения сведений о доходах, расходах, об имуществе и обязательствах имущественного характера на официальн</w:t>
      </w:r>
      <w:r>
        <w:rPr>
          <w:rFonts w:eastAsia="Calibri"/>
          <w:bCs/>
          <w:sz w:val="28"/>
          <w:szCs w:val="28"/>
        </w:rPr>
        <w:t>ом</w:t>
      </w:r>
      <w:r w:rsidRPr="00166379">
        <w:rPr>
          <w:rFonts w:eastAsia="Calibri"/>
          <w:bCs/>
          <w:sz w:val="28"/>
          <w:szCs w:val="28"/>
        </w:rPr>
        <w:t xml:space="preserve"> сайт</w:t>
      </w:r>
      <w:r>
        <w:rPr>
          <w:rFonts w:eastAsia="Calibri"/>
          <w:bCs/>
          <w:sz w:val="28"/>
          <w:szCs w:val="28"/>
        </w:rPr>
        <w:t>е</w:t>
      </w:r>
      <w:r w:rsidRPr="00166379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администрации муниципального образования Бурунчинский сельсовет  </w:t>
      </w:r>
      <w:r w:rsidRPr="00166379">
        <w:rPr>
          <w:rFonts w:eastAsia="Calibri"/>
          <w:bCs/>
          <w:sz w:val="28"/>
          <w:szCs w:val="28"/>
        </w:rPr>
        <w:t>в информационно-телекоммуникационной сети Интернет (далее - официальны</w:t>
      </w:r>
      <w:r>
        <w:rPr>
          <w:rFonts w:eastAsia="Calibri"/>
          <w:bCs/>
          <w:sz w:val="28"/>
          <w:szCs w:val="28"/>
        </w:rPr>
        <w:t>й</w:t>
      </w:r>
      <w:r w:rsidRPr="00166379">
        <w:rPr>
          <w:rFonts w:eastAsia="Calibri"/>
          <w:bCs/>
          <w:sz w:val="28"/>
          <w:szCs w:val="28"/>
        </w:rPr>
        <w:t xml:space="preserve"> сайт) и предоставления указанных сведений общероссийским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общероссийским средствам массовой информации для опубликования, в отношении:</w:t>
      </w:r>
    </w:p>
    <w:p w:rsidR="00511E57" w:rsidRPr="00166379" w:rsidRDefault="00511E57" w:rsidP="00511E5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1" w:name="Par10"/>
      <w:bookmarkStart w:id="2" w:name="Par11"/>
      <w:bookmarkEnd w:id="1"/>
      <w:bookmarkEnd w:id="2"/>
      <w:r>
        <w:rPr>
          <w:rFonts w:eastAsia="Calibri"/>
          <w:bCs/>
          <w:sz w:val="28"/>
          <w:szCs w:val="28"/>
        </w:rPr>
        <w:t>а</w:t>
      </w:r>
      <w:r w:rsidRPr="00166379">
        <w:rPr>
          <w:rFonts w:eastAsia="Calibri"/>
          <w:bCs/>
          <w:sz w:val="28"/>
          <w:szCs w:val="28"/>
        </w:rPr>
        <w:t xml:space="preserve">) лиц, замещающих должности </w:t>
      </w:r>
      <w:r>
        <w:rPr>
          <w:rFonts w:eastAsia="Calibri"/>
          <w:bCs/>
          <w:sz w:val="28"/>
          <w:szCs w:val="28"/>
        </w:rPr>
        <w:t>муниципаль</w:t>
      </w:r>
      <w:r w:rsidRPr="00166379">
        <w:rPr>
          <w:rFonts w:eastAsia="Calibri"/>
          <w:bCs/>
          <w:sz w:val="28"/>
          <w:szCs w:val="28"/>
        </w:rPr>
        <w:t>ной службы в органах</w:t>
      </w:r>
      <w:r>
        <w:rPr>
          <w:rFonts w:eastAsia="Calibri"/>
          <w:bCs/>
          <w:sz w:val="28"/>
          <w:szCs w:val="28"/>
        </w:rPr>
        <w:t xml:space="preserve"> местного самоуправления  муниципального образования Бурунчинский сельсовет;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</w:t>
      </w:r>
      <w:r w:rsidRPr="00166379">
        <w:rPr>
          <w:rFonts w:eastAsia="Calibri"/>
          <w:bCs/>
          <w:sz w:val="28"/>
          <w:szCs w:val="28"/>
        </w:rPr>
        <w:t xml:space="preserve">) руководителей </w:t>
      </w:r>
      <w:r>
        <w:rPr>
          <w:rFonts w:eastAsia="Calibri"/>
          <w:bCs/>
          <w:sz w:val="28"/>
          <w:szCs w:val="28"/>
        </w:rPr>
        <w:t>муниципаль</w:t>
      </w:r>
      <w:r w:rsidRPr="00166379">
        <w:rPr>
          <w:rFonts w:eastAsia="Calibri"/>
          <w:bCs/>
          <w:sz w:val="28"/>
          <w:szCs w:val="28"/>
        </w:rPr>
        <w:t>ных учреждений</w:t>
      </w:r>
      <w:r>
        <w:rPr>
          <w:rFonts w:eastAsia="Calibri"/>
          <w:bCs/>
          <w:sz w:val="28"/>
          <w:szCs w:val="28"/>
        </w:rPr>
        <w:t xml:space="preserve"> Бурунчинского сельсовета; </w:t>
      </w:r>
    </w:p>
    <w:p w:rsidR="00511E57" w:rsidRDefault="00511E57" w:rsidP="00511E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их супругов и несовершеннолетних детей. </w:t>
      </w:r>
      <w:bookmarkStart w:id="3" w:name="Par81"/>
      <w:bookmarkEnd w:id="3"/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лицу, указанному в пункте 1 настоящего Порядка, его супруге (супругу) и несовершеннолетним детям;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</w:r>
      <w:r w:rsidRPr="00770386">
        <w:rPr>
          <w:sz w:val="28"/>
          <w:szCs w:val="28"/>
        </w:rPr>
        <w:t xml:space="preserve">), </w:t>
      </w:r>
      <w:r w:rsidRPr="00770386">
        <w:rPr>
          <w:color w:val="2D2D2D"/>
          <w:spacing w:val="2"/>
          <w:sz w:val="28"/>
          <w:szCs w:val="28"/>
          <w:shd w:val="clear" w:color="auto" w:fill="FFFFFF"/>
        </w:rPr>
        <w:t xml:space="preserve">если общая сумма таких сделок превышает общий доход </w:t>
      </w:r>
      <w:r>
        <w:rPr>
          <w:sz w:val="28"/>
          <w:szCs w:val="28"/>
        </w:rPr>
        <w:t>лица, указанного в пункте 1 настоящего Порядка</w:t>
      </w:r>
      <w:r w:rsidRPr="00770386">
        <w:rPr>
          <w:color w:val="2D2D2D"/>
          <w:spacing w:val="2"/>
          <w:sz w:val="28"/>
          <w:szCs w:val="28"/>
          <w:shd w:val="clear" w:color="auto" w:fill="FFFFFF"/>
        </w:rPr>
        <w:t xml:space="preserve"> и его супруги (супруга) за три последних года, предшествующих отчетному периоду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 (кроме указанных в </w:t>
      </w:r>
      <w:hyperlink r:id="rId12" w:anchor="Par81" w:history="1">
        <w:r w:rsidRPr="009055B3">
          <w:rPr>
            <w:rStyle w:val="a3"/>
            <w:color w:val="0D0D0D"/>
            <w:sz w:val="28"/>
            <w:szCs w:val="28"/>
          </w:rPr>
          <w:t>пункте 2</w:t>
        </w:r>
      </w:hyperlink>
      <w:r w:rsidRPr="009055B3">
        <w:rPr>
          <w:color w:val="0D0D0D"/>
          <w:sz w:val="28"/>
          <w:szCs w:val="28"/>
        </w:rPr>
        <w:t xml:space="preserve"> н</w:t>
      </w:r>
      <w:r>
        <w:rPr>
          <w:sz w:val="28"/>
          <w:szCs w:val="28"/>
        </w:rPr>
        <w:t>астоящего Порядка) о доходах,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hyperlink r:id="rId13" w:history="1">
        <w:r w:rsidRPr="00770386">
          <w:rPr>
            <w:rStyle w:val="a3"/>
            <w:color w:val="0D0D0D"/>
            <w:sz w:val="28"/>
            <w:szCs w:val="28"/>
            <w:u w:val="none"/>
          </w:rPr>
          <w:t>персональные данные</w:t>
        </w:r>
      </w:hyperlink>
      <w:r>
        <w:rPr>
          <w:sz w:val="28"/>
          <w:szCs w:val="28"/>
        </w:rPr>
        <w:t xml:space="preserve"> супруги (супруга), детей и иных членов семьи лица, указанного в пункте 1 настоящего Порядка;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иных членов семьи;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</w:t>
      </w:r>
      <w:r w:rsidRPr="00116E4D">
        <w:rPr>
          <w:sz w:val="28"/>
          <w:szCs w:val="28"/>
        </w:rPr>
        <w:t xml:space="preserve"> </w:t>
      </w:r>
      <w:r>
        <w:rPr>
          <w:sz w:val="28"/>
          <w:szCs w:val="28"/>
        </w:rPr>
        <w:t>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511E57" w:rsidRPr="009055B3" w:rsidRDefault="00511E57" w:rsidP="00511E57">
      <w:pPr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д) информацию, отнесенную к </w:t>
      </w:r>
      <w:hyperlink r:id="rId14" w:history="1">
        <w:r w:rsidRPr="00770386">
          <w:rPr>
            <w:rStyle w:val="a3"/>
            <w:color w:val="0D0D0D"/>
            <w:sz w:val="28"/>
            <w:szCs w:val="28"/>
            <w:u w:val="none"/>
          </w:rPr>
          <w:t>государственной тайне</w:t>
        </w:r>
      </w:hyperlink>
      <w:r w:rsidRPr="009055B3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являющуюся </w:t>
      </w:r>
      <w:hyperlink r:id="rId15" w:history="1">
        <w:r w:rsidRPr="00770386">
          <w:rPr>
            <w:rStyle w:val="a3"/>
            <w:color w:val="0D0D0D"/>
            <w:sz w:val="28"/>
            <w:szCs w:val="28"/>
            <w:u w:val="none"/>
          </w:rPr>
          <w:t>конфиденциальной</w:t>
        </w:r>
      </w:hyperlink>
      <w:r w:rsidRPr="009055B3">
        <w:rPr>
          <w:color w:val="0D0D0D"/>
          <w:sz w:val="28"/>
          <w:szCs w:val="28"/>
        </w:rPr>
        <w:t>.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6" w:anchor="Par81" w:history="1">
        <w:r w:rsidRPr="009055B3">
          <w:rPr>
            <w:rStyle w:val="a3"/>
            <w:color w:val="0D0D0D"/>
            <w:sz w:val="28"/>
            <w:szCs w:val="28"/>
          </w:rPr>
          <w:t>пункте 2</w:t>
        </w:r>
      </w:hyperlink>
      <w:r w:rsidRPr="009055B3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за весь период замещения лицом, указанном в пункте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>
        <w:rPr>
          <w:sz w:val="28"/>
          <w:szCs w:val="28"/>
        </w:rPr>
        <w:lastRenderedPageBreak/>
        <w:t>муниципального образования Бурунчинский сельсовет и ежегодно обновляются в течение 14 рабочих дней со дня истечения срока, установленного для их подачи действующим законодательством.</w:t>
      </w:r>
    </w:p>
    <w:p w:rsidR="00511E57" w:rsidRDefault="00511E57" w:rsidP="00511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Размещение,</w:t>
      </w:r>
      <w:r w:rsidRPr="00770386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770386">
        <w:rPr>
          <w:color w:val="2D2D2D"/>
          <w:spacing w:val="2"/>
          <w:sz w:val="28"/>
          <w:szCs w:val="28"/>
          <w:shd w:val="clear" w:color="auto" w:fill="FFFFFF"/>
        </w:rPr>
        <w:t xml:space="preserve">уточнение и удаление </w:t>
      </w:r>
      <w:r w:rsidRPr="00770386">
        <w:rPr>
          <w:sz w:val="28"/>
          <w:szCs w:val="28"/>
        </w:rPr>
        <w:t>на официальном сайте сведений о доходах, расходах, об имущ</w:t>
      </w:r>
      <w:r>
        <w:rPr>
          <w:sz w:val="28"/>
          <w:szCs w:val="28"/>
        </w:rPr>
        <w:t xml:space="preserve">естве и обязательствах имущественного характера, указанных в </w:t>
      </w:r>
      <w:hyperlink r:id="rId17" w:anchor="Par81" w:history="1">
        <w:r w:rsidRPr="00770386">
          <w:rPr>
            <w:rStyle w:val="a3"/>
            <w:color w:val="0D0D0D"/>
            <w:sz w:val="28"/>
            <w:szCs w:val="28"/>
            <w:u w:val="none"/>
          </w:rPr>
          <w:t>пункте 2</w:t>
        </w:r>
      </w:hyperlink>
      <w:r w:rsidRPr="009055B3">
        <w:rPr>
          <w:color w:val="0D0D0D"/>
          <w:sz w:val="28"/>
          <w:szCs w:val="28"/>
        </w:rPr>
        <w:t xml:space="preserve">  </w:t>
      </w:r>
      <w:r>
        <w:rPr>
          <w:sz w:val="28"/>
          <w:szCs w:val="28"/>
        </w:rPr>
        <w:t>настоящего Порядка, представленных лицами,</w:t>
      </w:r>
      <w:r w:rsidRPr="0077038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указанными в пункте 1 настоящего Порядка обеспечивается главным специалистом по противодействию коррупции администрации муниципального образования Бурунчинский сельсовет Оренбургской области.</w:t>
      </w:r>
    </w:p>
    <w:p w:rsidR="00511E57" w:rsidRDefault="00511E57" w:rsidP="00511E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           </w:t>
      </w:r>
      <w:r w:rsidRPr="005A0532">
        <w:rPr>
          <w:color w:val="2D2D2D"/>
          <w:spacing w:val="2"/>
          <w:sz w:val="28"/>
          <w:szCs w:val="28"/>
        </w:rPr>
        <w:t xml:space="preserve">В случае представления </w:t>
      </w:r>
      <w:r>
        <w:rPr>
          <w:sz w:val="28"/>
          <w:szCs w:val="28"/>
        </w:rPr>
        <w:t>лицом, указанным в пункте 1 настоящего Порядка</w:t>
      </w:r>
      <w:r w:rsidRPr="005A0532">
        <w:rPr>
          <w:color w:val="2D2D2D"/>
          <w:spacing w:val="2"/>
          <w:sz w:val="28"/>
          <w:szCs w:val="28"/>
        </w:rPr>
        <w:t xml:space="preserve"> уточненных </w:t>
      </w:r>
      <w:r>
        <w:rPr>
          <w:color w:val="2D2D2D"/>
          <w:spacing w:val="2"/>
          <w:sz w:val="28"/>
          <w:szCs w:val="28"/>
        </w:rPr>
        <w:t>с</w:t>
      </w:r>
      <w:r w:rsidRPr="005A0532">
        <w:rPr>
          <w:color w:val="2D2D2D"/>
          <w:spacing w:val="2"/>
          <w:sz w:val="28"/>
          <w:szCs w:val="28"/>
        </w:rPr>
        <w:t>ведений</w:t>
      </w:r>
      <w:r>
        <w:rPr>
          <w:color w:val="2D2D2D"/>
          <w:spacing w:val="2"/>
          <w:sz w:val="28"/>
          <w:szCs w:val="28"/>
        </w:rPr>
        <w:t>,</w:t>
      </w:r>
      <w:r w:rsidRPr="005A0532">
        <w:rPr>
          <w:color w:val="2D2D2D"/>
          <w:spacing w:val="2"/>
          <w:sz w:val="28"/>
          <w:szCs w:val="28"/>
        </w:rPr>
        <w:t xml:space="preserve"> размещенные на официальном сайте </w:t>
      </w:r>
      <w:r>
        <w:rPr>
          <w:color w:val="2D2D2D"/>
          <w:spacing w:val="2"/>
          <w:sz w:val="28"/>
          <w:szCs w:val="28"/>
        </w:rPr>
        <w:t>с</w:t>
      </w:r>
      <w:r w:rsidRPr="005A0532">
        <w:rPr>
          <w:color w:val="2D2D2D"/>
          <w:spacing w:val="2"/>
          <w:sz w:val="28"/>
          <w:szCs w:val="28"/>
        </w:rPr>
        <w:t>ведения подлежат изменению согласно уточненным данным.</w:t>
      </w:r>
      <w:r>
        <w:rPr>
          <w:color w:val="2D2D2D"/>
          <w:spacing w:val="2"/>
          <w:sz w:val="28"/>
          <w:szCs w:val="28"/>
        </w:rPr>
        <w:t xml:space="preserve"> </w:t>
      </w:r>
      <w:r w:rsidRPr="005A0532">
        <w:rPr>
          <w:color w:val="2D2D2D"/>
          <w:spacing w:val="2"/>
          <w:sz w:val="28"/>
          <w:szCs w:val="28"/>
        </w:rPr>
        <w:t xml:space="preserve">Внесение изменений производится не позднее 7 рабочих дней со дня представления уточненных </w:t>
      </w:r>
      <w:r>
        <w:rPr>
          <w:color w:val="2D2D2D"/>
          <w:spacing w:val="2"/>
          <w:sz w:val="28"/>
          <w:szCs w:val="28"/>
        </w:rPr>
        <w:t>с</w:t>
      </w:r>
      <w:r w:rsidRPr="005A0532">
        <w:rPr>
          <w:color w:val="2D2D2D"/>
          <w:spacing w:val="2"/>
          <w:sz w:val="28"/>
          <w:szCs w:val="28"/>
        </w:rPr>
        <w:t>ведений.</w:t>
      </w:r>
    </w:p>
    <w:p w:rsidR="00511E57" w:rsidRPr="005A0532" w:rsidRDefault="00511E57" w:rsidP="00511E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Pr="005A0532">
        <w:rPr>
          <w:color w:val="2D2D2D"/>
          <w:spacing w:val="2"/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>лица, указанного в пункте 1 настоящего Порядка,</w:t>
      </w:r>
      <w:r w:rsidRPr="005A0532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</w:t>
      </w:r>
      <w:r w:rsidRPr="005A0532">
        <w:rPr>
          <w:color w:val="2D2D2D"/>
          <w:spacing w:val="2"/>
          <w:sz w:val="28"/>
          <w:szCs w:val="28"/>
        </w:rPr>
        <w:t>ведения подлежат удалению с официального сайта.</w:t>
      </w:r>
      <w:r>
        <w:rPr>
          <w:color w:val="2D2D2D"/>
          <w:spacing w:val="2"/>
          <w:sz w:val="28"/>
          <w:szCs w:val="28"/>
        </w:rPr>
        <w:t xml:space="preserve"> </w:t>
      </w:r>
      <w:r w:rsidRPr="005A0532">
        <w:rPr>
          <w:color w:val="2D2D2D"/>
          <w:spacing w:val="2"/>
          <w:sz w:val="28"/>
          <w:szCs w:val="28"/>
        </w:rPr>
        <w:t xml:space="preserve">Сведения удаляются не позднее 7 рабочих дней со дня увольнения </w:t>
      </w:r>
      <w:r>
        <w:rPr>
          <w:sz w:val="28"/>
          <w:szCs w:val="28"/>
        </w:rPr>
        <w:t>лица, указанного в пункте 1 настоящего Порядка</w:t>
      </w:r>
      <w:r w:rsidRPr="005A0532">
        <w:rPr>
          <w:color w:val="2D2D2D"/>
          <w:spacing w:val="2"/>
          <w:sz w:val="28"/>
          <w:szCs w:val="28"/>
        </w:rPr>
        <w:t>.</w:t>
      </w:r>
    </w:p>
    <w:p w:rsidR="00511E57" w:rsidRDefault="00511E57" w:rsidP="00511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 </w:t>
      </w:r>
      <w:r w:rsidRPr="009F46AE">
        <w:rPr>
          <w:sz w:val="28"/>
          <w:szCs w:val="28"/>
        </w:rPr>
        <w:t>Сведения о доходах, расходах, об имуществе и обязательствах имущественного характера лиц</w:t>
      </w:r>
      <w:r>
        <w:rPr>
          <w:sz w:val="28"/>
          <w:szCs w:val="28"/>
        </w:rPr>
        <w:t xml:space="preserve">, указанных в пункте 1 настоящего Порядка, </w:t>
      </w:r>
      <w:r w:rsidRPr="009F46AE">
        <w:rPr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</w:t>
      </w:r>
      <w:r>
        <w:rPr>
          <w:sz w:val="28"/>
          <w:szCs w:val="28"/>
        </w:rPr>
        <w:t xml:space="preserve"> органов местного самоуправления  </w:t>
      </w:r>
      <w:r w:rsidRPr="009F46AE">
        <w:rPr>
          <w:sz w:val="28"/>
          <w:szCs w:val="28"/>
        </w:rPr>
        <w:t xml:space="preserve">размещаться в </w:t>
      </w:r>
      <w:r>
        <w:rPr>
          <w:sz w:val="28"/>
          <w:szCs w:val="28"/>
        </w:rPr>
        <w:t>и</w:t>
      </w:r>
      <w:r w:rsidRPr="009F46AE">
        <w:rPr>
          <w:sz w:val="28"/>
          <w:szCs w:val="28"/>
        </w:rPr>
        <w:t>нформационно-телекоммуникационной сети "Интернет" на официальных</w:t>
      </w:r>
      <w:r>
        <w:rPr>
          <w:sz w:val="28"/>
          <w:szCs w:val="28"/>
        </w:rPr>
        <w:t xml:space="preserve"> </w:t>
      </w:r>
      <w:r w:rsidRPr="009F46AE">
        <w:rPr>
          <w:sz w:val="28"/>
          <w:szCs w:val="28"/>
        </w:rPr>
        <w:t xml:space="preserve">сайтах указанных организаций. В этом случае в соответствующем разделе официального сайта </w:t>
      </w:r>
      <w:r>
        <w:rPr>
          <w:sz w:val="28"/>
          <w:szCs w:val="28"/>
        </w:rPr>
        <w:t xml:space="preserve"> администрации </w:t>
      </w:r>
      <w:r>
        <w:rPr>
          <w:rFonts w:eastAsia="Calibri"/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Бурунчинский сельсовет </w:t>
      </w:r>
      <w:r w:rsidRPr="009F46AE">
        <w:rPr>
          <w:sz w:val="28"/>
          <w:szCs w:val="28"/>
        </w:rPr>
        <w:t>дается ссылка на адрес сайта в информационно-телекоммуникационной сети "Интернет",</w:t>
      </w:r>
      <w:r>
        <w:rPr>
          <w:sz w:val="28"/>
          <w:szCs w:val="28"/>
        </w:rPr>
        <w:t xml:space="preserve">     </w:t>
      </w:r>
      <w:r w:rsidRPr="009F46AE">
        <w:rPr>
          <w:sz w:val="28"/>
          <w:szCs w:val="28"/>
        </w:rPr>
        <w:t xml:space="preserve"> где указанные сведения фактически</w:t>
      </w:r>
      <w:r>
        <w:rPr>
          <w:sz w:val="28"/>
          <w:szCs w:val="28"/>
        </w:rPr>
        <w:t xml:space="preserve"> </w:t>
      </w:r>
      <w:r w:rsidRPr="009F46AE">
        <w:rPr>
          <w:sz w:val="28"/>
          <w:szCs w:val="28"/>
        </w:rPr>
        <w:t>размещены.</w:t>
      </w:r>
    </w:p>
    <w:p w:rsidR="00511E57" w:rsidRDefault="00511E57" w:rsidP="00511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Главный специалист по противодействию коррупции  администрации района:</w:t>
      </w:r>
    </w:p>
    <w:p w:rsidR="00511E57" w:rsidRDefault="00511E57" w:rsidP="00511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в течение трех рабочих дней со дня регистрации запроса от общероссийского средства массовой информации сообщает о нем </w:t>
      </w:r>
      <w:r w:rsidRPr="009F46AE">
        <w:rPr>
          <w:sz w:val="28"/>
          <w:szCs w:val="28"/>
        </w:rPr>
        <w:t>лиц</w:t>
      </w:r>
      <w:r>
        <w:rPr>
          <w:sz w:val="28"/>
          <w:szCs w:val="28"/>
        </w:rPr>
        <w:t>у, указанному в пункте 1 настоящего Порядка, в отношении которого поступил запрос;</w:t>
      </w:r>
    </w:p>
    <w:p w:rsidR="00511E57" w:rsidRDefault="00511E57" w:rsidP="00511E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в течение семи рабочих дней со дня регистрации запроса от  средства массовой информации обеспечивает предоставление ему сведений, указанных в </w:t>
      </w:r>
      <w:hyperlink r:id="rId18" w:anchor="Par81" w:history="1">
        <w:r w:rsidRPr="005A0532">
          <w:rPr>
            <w:rStyle w:val="a3"/>
            <w:color w:val="0D0D0D"/>
            <w:sz w:val="28"/>
            <w:szCs w:val="28"/>
            <w:u w:val="none"/>
          </w:rPr>
          <w:t>пункте 2</w:t>
        </w:r>
      </w:hyperlink>
      <w:r w:rsidRPr="005A40D3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511E57" w:rsidRDefault="00511E57" w:rsidP="00511E5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Главный специалист по противодействию коррупции  администрации района, обеспечивающий сбор и обработку сведений о доходах, расходах, об имуществе и обязательствах имущественного характера и системный администратор администрации района, обеспечивающий размещение сведений о доходах, расходах, об имуществе и обязательствах имущественного характера на официальном сайте  и их представление </w:t>
      </w:r>
      <w:r>
        <w:rPr>
          <w:sz w:val="28"/>
          <w:szCs w:val="28"/>
        </w:rPr>
        <w:lastRenderedPageBreak/>
        <w:t xml:space="preserve">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 сведений, отнесенных к государственной тайне или являющихся конфиденциальными. </w:t>
      </w:r>
    </w:p>
    <w:p w:rsidR="00511E57" w:rsidRDefault="00511E57" w:rsidP="00511E5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  <w:sectPr w:rsidR="00511E57" w:rsidSect="00FA591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49"/>
        <w:gridCol w:w="1206"/>
        <w:gridCol w:w="4116"/>
      </w:tblGrid>
      <w:tr w:rsidR="00511E57" w:rsidRPr="009D481E" w:rsidTr="00FA5915">
        <w:tc>
          <w:tcPr>
            <w:tcW w:w="2220" w:type="pct"/>
            <w:shd w:val="clear" w:color="auto" w:fill="auto"/>
          </w:tcPr>
          <w:p w:rsidR="00511E57" w:rsidRPr="009D481E" w:rsidRDefault="00511E57" w:rsidP="00FA59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" w:type="pct"/>
            <w:shd w:val="clear" w:color="auto" w:fill="auto"/>
          </w:tcPr>
          <w:p w:rsidR="00511E57" w:rsidRPr="009D481E" w:rsidRDefault="00511E57" w:rsidP="00FA5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pct"/>
            <w:shd w:val="clear" w:color="auto" w:fill="auto"/>
          </w:tcPr>
          <w:p w:rsidR="00511E57" w:rsidRPr="009D481E" w:rsidRDefault="00511E57" w:rsidP="00FA5915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9D481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511E57" w:rsidRPr="009D481E" w:rsidRDefault="00511E57" w:rsidP="00FA5915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9D481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района</w:t>
            </w:r>
          </w:p>
          <w:p w:rsidR="00511E57" w:rsidRPr="009D481E" w:rsidRDefault="00511E57" w:rsidP="00FA5915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9D481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______________  </w:t>
            </w:r>
            <w:r w:rsidRPr="009D481E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>________</w:t>
            </w:r>
          </w:p>
        </w:tc>
      </w:tr>
    </w:tbl>
    <w:p w:rsidR="00511E57" w:rsidRPr="00BD6CE9" w:rsidRDefault="00511E57" w:rsidP="00511E57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BD6CE9">
        <w:rPr>
          <w:b/>
          <w:bCs/>
          <w:sz w:val="28"/>
          <w:szCs w:val="28"/>
        </w:rPr>
        <w:t>Сведения о доходах,  расходах, об имуществе и обязательствах имущественного характера</w:t>
      </w:r>
      <w:r w:rsidRPr="00BD6CE9">
        <w:rPr>
          <w:b/>
          <w:bCs/>
          <w:sz w:val="28"/>
          <w:szCs w:val="28"/>
        </w:rPr>
        <w:br/>
        <w:t>за период с 1 января 20__ года по 31 декабря 20__ года</w:t>
      </w:r>
    </w:p>
    <w:p w:rsidR="00511E57" w:rsidRPr="00BD6CE9" w:rsidRDefault="00511E57" w:rsidP="00511E57">
      <w:pPr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  <w:u w:val="single"/>
        </w:rPr>
      </w:pPr>
    </w:p>
    <w:tbl>
      <w:tblPr>
        <w:tblW w:w="5473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2"/>
        <w:gridCol w:w="989"/>
        <w:gridCol w:w="819"/>
        <w:gridCol w:w="1069"/>
        <w:gridCol w:w="694"/>
        <w:gridCol w:w="836"/>
        <w:gridCol w:w="927"/>
        <w:gridCol w:w="749"/>
        <w:gridCol w:w="778"/>
        <w:gridCol w:w="718"/>
        <w:gridCol w:w="945"/>
        <w:gridCol w:w="900"/>
      </w:tblGrid>
      <w:tr w:rsidR="00511E57" w:rsidRPr="00BD6CE9" w:rsidTr="00FA5915">
        <w:trPr>
          <w:trHeight w:val="264"/>
          <w:tblHeader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 xml:space="preserve">Декларированный годовой доход </w:t>
            </w:r>
            <w:r w:rsidRPr="00BD6CE9">
              <w:rPr>
                <w:sz w:val="16"/>
                <w:szCs w:val="16"/>
                <w:vertAlign w:val="superscript"/>
              </w:rPr>
              <w:t>1</w:t>
            </w:r>
            <w:r w:rsidRPr="00BD6CE9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 w:rsidRPr="00BD6CE9">
              <w:rPr>
                <w:sz w:val="16"/>
                <w:szCs w:val="16"/>
                <w:vertAlign w:val="superscript"/>
              </w:rPr>
              <w:t>2</w:t>
            </w:r>
            <w:r w:rsidRPr="00BD6CE9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11E57" w:rsidRPr="00BD6CE9" w:rsidTr="00FA5915">
        <w:trPr>
          <w:trHeight w:val="88"/>
          <w:tblHeader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вид объекта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вид объекта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  <w:r w:rsidRPr="00BD6CE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11E57" w:rsidRPr="00BD6CE9" w:rsidRDefault="00511E57" w:rsidP="00FA5915">
            <w:pPr>
              <w:rPr>
                <w:sz w:val="16"/>
                <w:szCs w:val="16"/>
              </w:rPr>
            </w:pPr>
          </w:p>
        </w:tc>
      </w:tr>
      <w:tr w:rsidR="00511E57" w:rsidRPr="00BD6CE9" w:rsidTr="00FA5915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>
            <w:r w:rsidRPr="00BD6CE9">
              <w:t>ФИО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/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/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/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/>
        </w:tc>
      </w:tr>
      <w:tr w:rsidR="00511E57" w:rsidRPr="00BD6CE9" w:rsidTr="00FA5915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11E57" w:rsidRPr="00BD6CE9" w:rsidRDefault="00511E57" w:rsidP="00FA5915"/>
        </w:tc>
      </w:tr>
      <w:tr w:rsidR="00511E57" w:rsidRPr="00BD6CE9" w:rsidTr="00FA5915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11E57" w:rsidRPr="00BD6CE9" w:rsidRDefault="00511E57" w:rsidP="00FA5915"/>
        </w:tc>
      </w:tr>
      <w:tr w:rsidR="00511E57" w:rsidRPr="00BD6CE9" w:rsidTr="00FA5915">
        <w:trPr>
          <w:trHeight w:val="191"/>
          <w:tblCellSpacing w:w="0" w:type="dxa"/>
        </w:trPr>
        <w:tc>
          <w:tcPr>
            <w:tcW w:w="167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>
            <w:r w:rsidRPr="00BD6CE9">
              <w:t>Супруг (а)</w:t>
            </w:r>
          </w:p>
          <w:p w:rsidR="00511E57" w:rsidRPr="00BD6CE9" w:rsidRDefault="00511E57" w:rsidP="00FA5915"/>
          <w:p w:rsidR="00511E57" w:rsidRPr="00BD6CE9" w:rsidRDefault="00511E57" w:rsidP="00FA5915"/>
          <w:p w:rsidR="00511E57" w:rsidRPr="00BD6CE9" w:rsidRDefault="00511E57" w:rsidP="00FA5915"/>
          <w:p w:rsidR="00511E57" w:rsidRPr="00BD6CE9" w:rsidRDefault="00511E57" w:rsidP="00FA5915">
            <w:r w:rsidRPr="00BD6CE9">
              <w:t>Несовершеннолетний ребенок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/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/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/>
        </w:tc>
        <w:tc>
          <w:tcPr>
            <w:tcW w:w="1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11E57" w:rsidRPr="00BD6CE9" w:rsidRDefault="00511E57" w:rsidP="00FA5915"/>
        </w:tc>
      </w:tr>
      <w:tr w:rsidR="00511E57" w:rsidRPr="00BD6CE9" w:rsidTr="00FA5915">
        <w:trPr>
          <w:trHeight w:val="8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11E57" w:rsidRPr="00BD6CE9" w:rsidRDefault="00511E57" w:rsidP="00FA5915"/>
        </w:tc>
      </w:tr>
      <w:tr w:rsidR="00511E57" w:rsidRPr="00BD6CE9" w:rsidTr="00FA5915">
        <w:trPr>
          <w:trHeight w:val="378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11E57" w:rsidRPr="00BD6CE9" w:rsidRDefault="00511E57" w:rsidP="00FA5915"/>
        </w:tc>
      </w:tr>
      <w:tr w:rsidR="00511E57" w:rsidRPr="00BD6CE9" w:rsidTr="00FA5915">
        <w:trPr>
          <w:trHeight w:val="12"/>
          <w:tblCellSpacing w:w="0" w:type="dxa"/>
        </w:trPr>
        <w:tc>
          <w:tcPr>
            <w:tcW w:w="167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2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6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99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2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4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9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1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511E57" w:rsidRPr="00BD6CE9" w:rsidRDefault="00511E57" w:rsidP="00FA5915"/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E57" w:rsidRPr="00BD6CE9" w:rsidRDefault="00511E57" w:rsidP="00FA5915"/>
        </w:tc>
        <w:tc>
          <w:tcPr>
            <w:tcW w:w="1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11E57" w:rsidRPr="00BD6CE9" w:rsidRDefault="00511E57" w:rsidP="00FA5915"/>
        </w:tc>
      </w:tr>
    </w:tbl>
    <w:p w:rsidR="00511E57" w:rsidRPr="00BD6CE9" w:rsidRDefault="00511E57" w:rsidP="00511E57">
      <w:r w:rsidRPr="00BD6CE9">
        <w:br/>
      </w:r>
      <w:r w:rsidRPr="00BD6CE9">
        <w:rPr>
          <w:vertAlign w:val="superscript"/>
        </w:rPr>
        <w:t>1</w:t>
      </w:r>
      <w:r w:rsidRPr="00BD6CE9">
        <w:t xml:space="preserve"> В случае если в отчетном периоде лицу, замещающему должность</w:t>
      </w:r>
      <w:r>
        <w:t xml:space="preserve"> муниципальной службы </w:t>
      </w:r>
      <w:r w:rsidRPr="00BD6CE9">
        <w:t xml:space="preserve">муниципального образования </w:t>
      </w:r>
      <w:r>
        <w:t>Бурунчинский сельсовет, руководителю муниципального учреждения Бурунчинского сельсовета</w:t>
      </w:r>
      <w:r w:rsidRPr="00BD6CE9"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BD6CE9">
        <w:br/>
      </w:r>
      <w:r w:rsidRPr="00BD6CE9">
        <w:rPr>
          <w:vertAlign w:val="superscript"/>
        </w:rPr>
        <w:t>2</w:t>
      </w:r>
      <w:r w:rsidRPr="00BD6CE9">
        <w:t xml:space="preserve"> Сведения указываются, если сумма сделки превышает общий доход лица, замещающего должность</w:t>
      </w:r>
      <w:r>
        <w:t xml:space="preserve"> муниципальной службы </w:t>
      </w:r>
      <w:r w:rsidRPr="00BD6CE9">
        <w:t xml:space="preserve">муниципального образования </w:t>
      </w:r>
      <w:r>
        <w:t>Бурунчинский сельсовет, руководителю муниципального учреждения Бурунчинского сельсовета</w:t>
      </w:r>
      <w:r w:rsidRPr="00BD6CE9">
        <w:t xml:space="preserve"> Оренбургской области, и его супруги (супруга) за три последних года, предшествующих</w:t>
      </w:r>
      <w:r>
        <w:t xml:space="preserve"> году</w:t>
      </w:r>
      <w:r w:rsidRPr="00BD6CE9">
        <w:t xml:space="preserve"> совершени</w:t>
      </w:r>
      <w:r>
        <w:t>я</w:t>
      </w:r>
      <w:r w:rsidRPr="00BD6CE9">
        <w:t xml:space="preserve"> сделки. </w:t>
      </w:r>
    </w:p>
    <w:p w:rsidR="00511E57" w:rsidRDefault="00511E57" w:rsidP="00511E57">
      <w:pPr>
        <w:rPr>
          <w:sz w:val="24"/>
          <w:szCs w:val="24"/>
        </w:rPr>
      </w:pPr>
    </w:p>
    <w:p w:rsidR="00511E57" w:rsidRPr="00CA072C" w:rsidRDefault="00511E57" w:rsidP="00511E57">
      <w:pPr>
        <w:jc w:val="both"/>
        <w:rPr>
          <w:sz w:val="28"/>
          <w:szCs w:val="28"/>
        </w:rPr>
      </w:pP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FD" w:rsidRDefault="009554FD">
      <w:r>
        <w:separator/>
      </w:r>
    </w:p>
  </w:endnote>
  <w:endnote w:type="continuationSeparator" w:id="0">
    <w:p w:rsidR="009554FD" w:rsidRDefault="0095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FD" w:rsidRDefault="009554FD">
      <w:r>
        <w:separator/>
      </w:r>
    </w:p>
  </w:footnote>
  <w:footnote w:type="continuationSeparator" w:id="0">
    <w:p w:rsidR="009554FD" w:rsidRDefault="0095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D2223"/>
    <w:multiLevelType w:val="hybridMultilevel"/>
    <w:tmpl w:val="2114765A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57"/>
    <w:rsid w:val="001B2A0E"/>
    <w:rsid w:val="00392214"/>
    <w:rsid w:val="003E4568"/>
    <w:rsid w:val="004015E3"/>
    <w:rsid w:val="00511E57"/>
    <w:rsid w:val="00766C3F"/>
    <w:rsid w:val="009319C8"/>
    <w:rsid w:val="009554FD"/>
    <w:rsid w:val="00AE3B71"/>
    <w:rsid w:val="00B943FD"/>
    <w:rsid w:val="00FA5915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711A9-A29E-4373-BF02-9E51A35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5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11E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E57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rFonts w:ascii="Calibri" w:eastAsia="Calibri" w:hAnsi="Calibri"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511E57"/>
    <w:rPr>
      <w:color w:val="0000FF"/>
      <w:u w:val="single"/>
    </w:rPr>
  </w:style>
  <w:style w:type="paragraph" w:customStyle="1" w:styleId="formattext">
    <w:name w:val="formattext"/>
    <w:basedOn w:val="a"/>
    <w:rsid w:val="00511E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cntd.ru/document/902030664" TargetMode="External"/><Relationship Id="rId13" Type="http://schemas.openxmlformats.org/officeDocument/2006/relationships/hyperlink" Target="consultantplus://offline/ref=299CB6AE50559B89E9CF2ADD5FA2479AE8B0527C5EECAB4A0FA0D1108028393614399F95219D761EQ172L" TargetMode="External"/><Relationship Id="rId18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17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3;&#1055;&#1040;%202014%20&#1075;&#1086;&#1076;&#1072;\&#1059;&#1082;&#1072;&#1079;%20&#1055;&#1088;&#1077;&#1079;&#1080;&#1076;&#1077;&#1085;&#1090;&#1072;%20&#1056;&#1060;%20&#1086;%20&#1088;&#1072;&#1079;&#1084;&#1077;&#1097;&#1077;&#1085;&#1080;&#1080;%20&#1085;&#1072;%20&#1089;&#1072;&#1081;&#1090;&#1077;%20&#1089;&#1074;&#1077;&#1076;&#1077;&#1085;&#1080;&#1081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2.cntd.ru/document/49903096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99CB6AE50559B89E9CF2ADD5FA2479AECB15C725FE0F64007F9DD128727662113709394219D75Q17CL" TargetMode="External"/><Relationship Id="rId10" Type="http://schemas.openxmlformats.org/officeDocument/2006/relationships/hyperlink" Target="http://docs2.cntd.ru/document/9023835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2.cntd.ru/document/902135263" TargetMode="External"/><Relationship Id="rId14" Type="http://schemas.openxmlformats.org/officeDocument/2006/relationships/hyperlink" Target="consultantplus://offline/ref=299CB6AE50559B89E9CF2ADD5FA2479AE0B752735AE0F64007F9DD128727662113709394219D74Q1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13546</CharactersWithSpaces>
  <SharedDoc>false</SharedDoc>
  <HLinks>
    <vt:vector size="66" baseType="variant">
      <vt:variant>
        <vt:i4>1311810</vt:i4>
      </vt:variant>
      <vt:variant>
        <vt:i4>30</vt:i4>
      </vt:variant>
      <vt:variant>
        <vt:i4>0</vt:i4>
      </vt:variant>
      <vt:variant>
        <vt:i4>5</vt:i4>
      </vt:variant>
      <vt:variant>
        <vt:lpwstr>D:\НПА 2014 года\Указ Президента РФ о размещении на сайте сведений.docx</vt:lpwstr>
      </vt:variant>
      <vt:variant>
        <vt:lpwstr>Par81</vt:lpwstr>
      </vt:variant>
      <vt:variant>
        <vt:i4>1311810</vt:i4>
      </vt:variant>
      <vt:variant>
        <vt:i4>27</vt:i4>
      </vt:variant>
      <vt:variant>
        <vt:i4>0</vt:i4>
      </vt:variant>
      <vt:variant>
        <vt:i4>5</vt:i4>
      </vt:variant>
      <vt:variant>
        <vt:lpwstr>D:\НПА 2014 года\Указ Президента РФ о размещении на сайте сведений.docx</vt:lpwstr>
      </vt:variant>
      <vt:variant>
        <vt:lpwstr>Par81</vt:lpwstr>
      </vt:variant>
      <vt:variant>
        <vt:i4>1311810</vt:i4>
      </vt:variant>
      <vt:variant>
        <vt:i4>24</vt:i4>
      </vt:variant>
      <vt:variant>
        <vt:i4>0</vt:i4>
      </vt:variant>
      <vt:variant>
        <vt:i4>5</vt:i4>
      </vt:variant>
      <vt:variant>
        <vt:lpwstr>D:\НПА 2014 года\Указ Президента РФ о размещении на сайте сведений.docx</vt:lpwstr>
      </vt:variant>
      <vt:variant>
        <vt:lpwstr>Par81</vt:lpwstr>
      </vt:variant>
      <vt:variant>
        <vt:i4>6160468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consultantplus://offline/ref=299CB6AE50559B89E9CF2ADD5FA2479AECB15C725FE0F64007F9DD128727662113709394219D75Q17CL</vt:lpwstr>
      </vt:variant>
      <vt:variant>
        <vt:lpwstr/>
      </vt:variant>
      <vt:variant>
        <vt:i4>6160465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consultantplus://offline/ref=299CB6AE50559B89E9CF2ADD5FA2479AE0B752735AE0F64007F9DD128727662113709394219D74Q17EL</vt:lpwstr>
      </vt:variant>
      <vt:variant>
        <vt:lpwstr/>
      </vt:variant>
      <vt:variant>
        <vt:i4>7274553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consultantplus://offline/ref=299CB6AE50559B89E9CF2ADD5FA2479AE8B0527C5EECAB4A0FA0D1108028393614399F95219D761EQ172L</vt:lpwstr>
      </vt:variant>
      <vt:variant>
        <vt:lpwstr/>
      </vt:variant>
      <vt:variant>
        <vt:i4>1311810</vt:i4>
      </vt:variant>
      <vt:variant>
        <vt:i4>12</vt:i4>
      </vt:variant>
      <vt:variant>
        <vt:i4>0</vt:i4>
      </vt:variant>
      <vt:variant>
        <vt:i4>5</vt:i4>
      </vt:variant>
      <vt:variant>
        <vt:lpwstr>D:\НПА 2014 года\Указ Президента РФ о размещении на сайте сведений.docx</vt:lpwstr>
      </vt:variant>
      <vt:variant>
        <vt:lpwstr>Par81</vt:lpwstr>
      </vt:variant>
      <vt:variant>
        <vt:i4>7733344</vt:i4>
      </vt:variant>
      <vt:variant>
        <vt:i4>9</vt:i4>
      </vt:variant>
      <vt:variant>
        <vt:i4>0</vt:i4>
      </vt:variant>
      <vt:variant>
        <vt:i4>5</vt:i4>
      </vt:variant>
      <vt:variant>
        <vt:lpwstr>http://docs2.cntd.ru/document/499030963</vt:lpwstr>
      </vt:variant>
      <vt:variant>
        <vt:lpwstr/>
      </vt:variant>
      <vt:variant>
        <vt:i4>7864417</vt:i4>
      </vt:variant>
      <vt:variant>
        <vt:i4>6</vt:i4>
      </vt:variant>
      <vt:variant>
        <vt:i4>0</vt:i4>
      </vt:variant>
      <vt:variant>
        <vt:i4>5</vt:i4>
      </vt:variant>
      <vt:variant>
        <vt:lpwstr>http://docs2.cntd.ru/document/902383514</vt:lpwstr>
      </vt:variant>
      <vt:variant>
        <vt:lpwstr/>
      </vt:variant>
      <vt:variant>
        <vt:i4>8061037</vt:i4>
      </vt:variant>
      <vt:variant>
        <vt:i4>3</vt:i4>
      </vt:variant>
      <vt:variant>
        <vt:i4>0</vt:i4>
      </vt:variant>
      <vt:variant>
        <vt:i4>5</vt:i4>
      </vt:variant>
      <vt:variant>
        <vt:lpwstr>http://docs2.cntd.ru/document/902135263</vt:lpwstr>
      </vt:variant>
      <vt:variant>
        <vt:lpwstr/>
      </vt:variant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http://docs2.cntd.ru/document/902030664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cp:lastPrinted>2021-11-18T10:47:00Z</cp:lastPrinted>
  <dcterms:created xsi:type="dcterms:W3CDTF">2021-11-23T04:30:00Z</dcterms:created>
  <dcterms:modified xsi:type="dcterms:W3CDTF">2021-11-23T04:30:00Z</dcterms:modified>
</cp:coreProperties>
</file>