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60" w:rsidRPr="009134AA" w:rsidRDefault="00ED7B60" w:rsidP="00ED7B60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4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60" w:rsidRPr="009134AA" w:rsidRDefault="00ED7B60" w:rsidP="00ED7B60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ED7B60" w:rsidRPr="009134AA" w:rsidRDefault="00ED7B60" w:rsidP="00ED7B60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ED7B60" w:rsidRPr="009134AA" w:rsidRDefault="00ED7B60" w:rsidP="00ED7B60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</w:p>
    <w:p w:rsidR="00ED7B60" w:rsidRPr="009134AA" w:rsidRDefault="00ED7B60" w:rsidP="00ED7B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ED7B60" w:rsidRPr="00EA0AA7" w:rsidRDefault="00ED7B60" w:rsidP="00ED7B60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десятого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ED7B60" w:rsidRPr="00EA0AA7" w:rsidRDefault="00ED7B60" w:rsidP="00ED7B60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ED7B60" w:rsidRPr="009134AA" w:rsidRDefault="00ED7B60" w:rsidP="00ED7B6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ED7B60" w:rsidRPr="009134AA" w:rsidTr="00484463">
        <w:trPr>
          <w:trHeight w:val="388"/>
        </w:trPr>
        <w:tc>
          <w:tcPr>
            <w:tcW w:w="3067" w:type="dxa"/>
          </w:tcPr>
          <w:p w:rsidR="00ED7B60" w:rsidRDefault="00ED7B60" w:rsidP="0048446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  <w:p w:rsidR="00ED7B60" w:rsidRDefault="00ED7B60" w:rsidP="00484463"/>
          <w:p w:rsidR="00ED7B60" w:rsidRPr="00041C88" w:rsidRDefault="00ED7B60" w:rsidP="00484463">
            <w:pPr>
              <w:jc w:val="center"/>
            </w:pPr>
          </w:p>
        </w:tc>
        <w:tc>
          <w:tcPr>
            <w:tcW w:w="3042" w:type="dxa"/>
          </w:tcPr>
          <w:p w:rsidR="00ED7B60" w:rsidRPr="009134AA" w:rsidRDefault="00ED7B60" w:rsidP="0048446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ED7B60" w:rsidRPr="009134AA" w:rsidRDefault="00ED7B60" w:rsidP="0048446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июня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E413B" w:rsidRPr="00CE7106" w:rsidRDefault="002E413B" w:rsidP="002E413B">
      <w:pPr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28"/>
          <w:sz w:val="28"/>
          <w:szCs w:val="32"/>
        </w:rPr>
      </w:pPr>
      <w:r w:rsidRPr="00CE7106">
        <w:rPr>
          <w:rFonts w:ascii="Times New Roman" w:eastAsiaTheme="majorEastAsia" w:hAnsi="Times New Roman" w:cs="Times New Roman"/>
          <w:b/>
          <w:kern w:val="28"/>
          <w:sz w:val="28"/>
          <w:szCs w:val="32"/>
        </w:rPr>
        <w:t>Об утверждении положения «О составе, порядке подготовки и утвер</w:t>
      </w:r>
      <w:r w:rsidRPr="00CE7106">
        <w:rPr>
          <w:rFonts w:ascii="Times New Roman" w:eastAsiaTheme="majorEastAsia" w:hAnsi="Times New Roman" w:cs="Times New Roman"/>
          <w:b/>
          <w:kern w:val="28"/>
          <w:sz w:val="28"/>
          <w:szCs w:val="32"/>
        </w:rPr>
        <w:softHyphen/>
        <w:t xml:space="preserve">ждения местных нормативов градостроительного проектирования сельского поселения </w:t>
      </w:r>
      <w:r w:rsidR="00ED7B60">
        <w:rPr>
          <w:rFonts w:ascii="Times New Roman" w:eastAsiaTheme="majorEastAsia" w:hAnsi="Times New Roman" w:cs="Times New Roman"/>
          <w:b/>
          <w:kern w:val="28"/>
          <w:sz w:val="28"/>
          <w:szCs w:val="32"/>
        </w:rPr>
        <w:t>Бурунчинский</w:t>
      </w:r>
      <w:r w:rsidRPr="00CE7106">
        <w:rPr>
          <w:rFonts w:ascii="Times New Roman" w:eastAsiaTheme="majorEastAsia" w:hAnsi="Times New Roman" w:cs="Times New Roman"/>
          <w:b/>
          <w:kern w:val="28"/>
          <w:sz w:val="28"/>
          <w:szCs w:val="32"/>
        </w:rPr>
        <w:t xml:space="preserve"> сельсовет Саракташского района Оренбургской области</w:t>
      </w: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благоприятных условий жизнедеятельности населения муниципального образования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в соответствии со статьями 8, 24, 29,4 Градостроительного кодекса РФ, Приказа Министерства экономического развития РФ от 15.02.2021 №71, Устава муниципального образования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E413B" w:rsidRPr="00CE7106" w:rsidRDefault="002E413B" w:rsidP="002E4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1. Утвердить Положение «О составе, порядке подготовки и утверждения местных нор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мативов градостроительного проектирования сельского поселения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2E413B" w:rsidRPr="00A854BD" w:rsidRDefault="002E413B" w:rsidP="002E413B">
      <w:pPr>
        <w:spacing w:before="240" w:after="60" w:line="240" w:lineRule="auto"/>
        <w:jc w:val="both"/>
        <w:outlineLvl w:val="0"/>
        <w:rPr>
          <w:rFonts w:ascii="Times New Roman" w:eastAsiaTheme="majorEastAsia" w:hAnsi="Times New Roman" w:cs="Times New Roman"/>
          <w:b/>
          <w:kern w:val="28"/>
          <w:sz w:val="28"/>
          <w:szCs w:val="32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46B77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ED7B60" w:rsidRPr="00546B77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546B77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1</w:t>
      </w:r>
      <w:r w:rsidR="00546B77" w:rsidRPr="00546B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6B77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546B77" w:rsidRPr="00546B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B77">
        <w:rPr>
          <w:rFonts w:ascii="Times New Roman" w:eastAsia="Times New Roman" w:hAnsi="Times New Roman" w:cs="Times New Roman"/>
          <w:sz w:val="28"/>
          <w:szCs w:val="28"/>
        </w:rPr>
        <w:t>2014 г. № 1</w:t>
      </w:r>
      <w:r w:rsidR="00546B77" w:rsidRPr="00546B77">
        <w:rPr>
          <w:rFonts w:ascii="Times New Roman" w:eastAsia="Times New Roman" w:hAnsi="Times New Roman" w:cs="Times New Roman"/>
          <w:sz w:val="28"/>
          <w:szCs w:val="28"/>
        </w:rPr>
        <w:t>55</w:t>
      </w:r>
      <w:r w:rsidR="00ED7B60" w:rsidRPr="00546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B77">
        <w:rPr>
          <w:rFonts w:ascii="Times New Roman" w:eastAsiaTheme="majorEastAsia" w:hAnsi="Times New Roman" w:cs="Times New Roman"/>
          <w:kern w:val="28"/>
          <w:sz w:val="28"/>
          <w:szCs w:val="32"/>
        </w:rPr>
        <w:t>Об утверждении Положения «О составе, порядке подготовки и утвер</w:t>
      </w:r>
      <w:r w:rsidRPr="00546B77">
        <w:rPr>
          <w:rFonts w:ascii="Times New Roman" w:eastAsiaTheme="majorEastAsia" w:hAnsi="Times New Roman" w:cs="Times New Roman"/>
          <w:kern w:val="28"/>
          <w:sz w:val="28"/>
          <w:szCs w:val="32"/>
        </w:rPr>
        <w:softHyphen/>
        <w:t xml:space="preserve">ждения местных нормативов градостроительного </w:t>
      </w:r>
      <w:r w:rsidRPr="00546B77">
        <w:rPr>
          <w:rFonts w:ascii="Times New Roman" w:eastAsiaTheme="majorEastAsia" w:hAnsi="Times New Roman" w:cs="Times New Roman"/>
          <w:kern w:val="28"/>
          <w:sz w:val="28"/>
          <w:szCs w:val="32"/>
        </w:rPr>
        <w:lastRenderedPageBreak/>
        <w:t xml:space="preserve">проектирования сельского поселения </w:t>
      </w:r>
      <w:r w:rsidR="00ED7B60" w:rsidRPr="00546B77">
        <w:rPr>
          <w:rFonts w:ascii="Times New Roman" w:eastAsiaTheme="majorEastAsia" w:hAnsi="Times New Roman" w:cs="Times New Roman"/>
          <w:kern w:val="28"/>
          <w:sz w:val="28"/>
          <w:szCs w:val="32"/>
        </w:rPr>
        <w:t>Бурунчинский</w:t>
      </w:r>
      <w:r w:rsidRPr="00546B77">
        <w:rPr>
          <w:rFonts w:ascii="Times New Roman" w:eastAsiaTheme="majorEastAsia" w:hAnsi="Times New Roman" w:cs="Times New Roman"/>
          <w:kern w:val="28"/>
          <w:sz w:val="28"/>
          <w:szCs w:val="32"/>
        </w:rPr>
        <w:t xml:space="preserve"> сельсовет Саракташского района Оренбургской области</w:t>
      </w:r>
      <w:r w:rsidR="00546B77">
        <w:rPr>
          <w:rFonts w:ascii="Times New Roman" w:eastAsiaTheme="majorEastAsia" w:hAnsi="Times New Roman" w:cs="Times New Roman"/>
          <w:kern w:val="28"/>
          <w:sz w:val="28"/>
          <w:szCs w:val="32"/>
        </w:rPr>
        <w:t>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3. Поручить администрации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организовать работу по подготовке местных нормативов градостроительного проектирования сельского поселения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бюджетной, налоговой и финансовой политике, собственности, экономическим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46B77">
        <w:rPr>
          <w:rFonts w:ascii="Times New Roman" w:eastAsia="Times New Roman" w:hAnsi="Times New Roman" w:cs="Times New Roman"/>
          <w:sz w:val="28"/>
          <w:szCs w:val="28"/>
        </w:rPr>
        <w:t>Горбачев И.А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3B" w:rsidRDefault="002E413B" w:rsidP="002E413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5. Настоящее решение вступает в силу после дня его обнародования и подлежит размещению на официальном сайте 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ED7B60">
        <w:rPr>
          <w:rFonts w:ascii="Times New Roman" w:eastAsia="Times New Roman" w:hAnsi="Times New Roman" w:cs="Times New Roman"/>
          <w:color w:val="000000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546B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294"/>
        <w:gridCol w:w="4277"/>
      </w:tblGrid>
      <w:tr w:rsidR="002E413B" w:rsidRPr="00CE7106" w:rsidTr="006060DE">
        <w:tc>
          <w:tcPr>
            <w:tcW w:w="5637" w:type="dxa"/>
          </w:tcPr>
          <w:p w:rsidR="002E413B" w:rsidRPr="00CE7106" w:rsidRDefault="002E413B" w:rsidP="006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E413B" w:rsidRPr="00CE7106" w:rsidRDefault="002E413B" w:rsidP="006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</w:p>
          <w:p w:rsidR="002E413B" w:rsidRPr="00CE7106" w:rsidRDefault="002E413B" w:rsidP="00ED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</w:t>
            </w:r>
            <w:r w:rsidR="00ED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С.Н.Жуков</w:t>
            </w: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</w:tcPr>
          <w:p w:rsidR="002E413B" w:rsidRPr="00CE7106" w:rsidRDefault="002E413B" w:rsidP="006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2E413B" w:rsidRPr="00CE7106" w:rsidRDefault="002E413B" w:rsidP="00ED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 А.</w:t>
            </w:r>
            <w:r w:rsidR="00ED7B60">
              <w:rPr>
                <w:rFonts w:ascii="Times New Roman" w:eastAsia="Times New Roman" w:hAnsi="Times New Roman" w:cs="Times New Roman"/>
                <w:sz w:val="28"/>
                <w:szCs w:val="28"/>
              </w:rPr>
              <w:t>Н.Логинов</w:t>
            </w:r>
          </w:p>
        </w:tc>
      </w:tr>
    </w:tbl>
    <w:p w:rsidR="002E413B" w:rsidRPr="00CE7106" w:rsidRDefault="002E413B" w:rsidP="002E4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Разослано: в дело, постоянной комиссии, прокуратуре района, в сельсовет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обнародования, на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сайт.</w:t>
      </w:r>
    </w:p>
    <w:p w:rsidR="002E413B" w:rsidRPr="00CE7106" w:rsidRDefault="002E413B" w:rsidP="002E4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Default="002E413B" w:rsidP="002E413B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7B60" w:rsidRDefault="00ED7B60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7B60" w:rsidRDefault="00ED7B60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6B77" w:rsidRDefault="00546B77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6B77" w:rsidRDefault="00546B77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E413B" w:rsidRPr="00CE7106" w:rsidRDefault="002E413B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МО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2E413B" w:rsidRPr="00CE7106" w:rsidRDefault="002E413B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2E413B" w:rsidRPr="00CE7106" w:rsidRDefault="002E413B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составе, порядке подготовки и утверждения местных нормативов градостроительного проектирования сельского поселения </w:t>
      </w:r>
      <w:r w:rsidR="00ED7B60">
        <w:rPr>
          <w:rFonts w:ascii="Times New Roman" w:eastAsia="Times New Roman" w:hAnsi="Times New Roman" w:cs="Times New Roman"/>
          <w:b/>
          <w:bCs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области»</w:t>
      </w: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t>1.  Общие положения.</w:t>
      </w:r>
    </w:p>
    <w:p w:rsidR="002E413B" w:rsidRPr="00CE7106" w:rsidRDefault="002E413B" w:rsidP="002E4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«О составе, порядке подготовки и утверждения местных нормативов градостроительного проектирования муниципального образования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 (далее – Положение) разработано в соответствии Градо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строительным кодексом РФ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(далее - ГрК РФ), Приказом Министерства экономического развития РФ от  15.02.2021 №71, нормативно-правовыми актами муниципального образования </w:t>
      </w:r>
      <w:r w:rsidR="00ED7B60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Оренбургской области (далее – сельское поселение).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1.2. Требования настоящего Положения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</w:t>
      </w:r>
      <w:hyperlink r:id="rId5" w:tooltip="Органы местного самоуправления" w:history="1">
        <w:r w:rsidRPr="00CE7106">
          <w:rPr>
            <w:rFonts w:ascii="Times New Roman" w:eastAsia="Times New Roman" w:hAnsi="Times New Roman" w:cs="Times New Roman"/>
            <w:sz w:val="28"/>
            <w:szCs w:val="28"/>
          </w:rPr>
          <w:t>органов местного самоуправления</w:t>
        </w:r>
      </w:hyperlink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обеспечивающих в пределах своих полномочий подготовку таких нормативов, а также органов, координирующих и контролирующих осуществлении градостроительной деятельности.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1.3. Под местными нормативами градостроительного проектирования сельского поселения понимаются нормативные правовые акты, которые содержат расчетные 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обеспечения населения объектами регионального значения и предельные значения расчетных показателей местного значения, которые отображаются в документах территориального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(далее - ДТП), учитываются в правилах землепользования и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застройки (далее - ПЗЗ) (в целях комплексного развития территории), в документации по планировке территории (далее - ДППТ), с помощью которых планируется обеспечение базовыми социальными, транспортными,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инженерными услугами, основываясь на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положениях СПР – стратегии пространственного развития, стратегий социально-эконом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развития субъектов и программ социально- экономического развития субъектов Российской Федерации, муниципальных образований. Заказчиком их подготовки выступает администрация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1.4.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Целью утверждения и применения НГП является повышение качества обеспеченности населения объектами коммунальной, транспортной,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Оренбургской области, Саракташского района и сельского поселения.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Внесение изменений в НГП (актуализацию НГП), корректировка расчетных показателей минимально допустимого уровня обеспеченности объектами коммунальной, социальной,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социально-экономической, демографической ситуаций осуществляется не реже чем один раз в пять лет.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1.5. В соответствии с частью 1 статьи 29.4 ГрК РФ местные нормативы градостроительного проектирования принимаются в форме нормативных правовых актов, утверждаемых решением Совета депутатов сельского поселения.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 нормативов градостроительного проектирования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соответствии со 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t>статьей 29.2 ГрК РФ</w:t>
      </w: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НГП включают в себя: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1) основную часть;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color w:val="000000"/>
          <w:sz w:val="28"/>
          <w:szCs w:val="28"/>
        </w:rPr>
        <w:t>3) правила и область применения расчетных показателей нормативов градостроительного проектирования.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В основную часть НГП включаются следующие разделы: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а) общие положения;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б) перечень расчетных показателей для местных НГП;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в) приложения к основной части (термины, перечень НПА, технические и методические нормы, картографические материалы). 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В материалы по обоснованию расчетных показателей НГП включаются следующие разделы: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а) информация о современном состоянии, прогнозе развития Оренбургской области  и  сельского поселения;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б) обоснование положений основной части НГП;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в) приложения.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В местных НГП устанавливаются предельные значения расчетных показателей в следующих областях: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а) автомобильные дороги местного значения и уличная сеть, транспортная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инфраструктура, организация парковок;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б) организация транспортного обслуживания населения (общественный транспорт);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в) образование, в том числе дополнительное;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г) здравоохранение - в случае передачи соответствующих полномочий ОМСУ;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д) физическая культура и спорт;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е) культура и искусство, в том числе библиотечное обслуживание, организация музеев;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ж) содержание мест захоронения, организация ритуальных услуг;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з) организация строительства муниципального жилищного фонда, создание условий для жилищного строительства;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и) благоустройство территории, в том числе озеленение и создание общественных пространств.</w:t>
      </w:r>
    </w:p>
    <w:p w:rsidR="002E413B" w:rsidRPr="00CE7106" w:rsidRDefault="002E413B" w:rsidP="002E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2.2. Местные нормативы градостроительного проектирования включают в себя следующие минимальные расчетные показатели обеспечения благоприятных условий жизнедеятельности человека: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1) расчетные показатели обеспеченности и интенсивности использования жилых и общественно-деловых зон: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площади территорий жилых зон в зависимости от типа застройки (в гектарах);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плотности населения квартала, микрорайона (количество жителей на 1 гектар площади застройки);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жилищной обеспеченности (в квадратных метрах общей площади на 1 человека);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земельных участков для индивидуального строительства (в гектарах);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предельно допустимых параметров застройки участков малоэтажного индивидуального строительства (в процентах, отношение общей площади застройки к общей площади участка);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площади дворовых площадок для игр и отдыха (в квадратных метрах на 1 жителя квартала);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дошкольными учреждениями (в штуках, количество мест на 1тыс. жителей);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общеобразовательными учреждениями (в штуках, количество мест на 1тыс. жителей);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учреждениями и предприятиями обслуживания (в штуках, количество мест на 1тыс. жителей);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пожарными депо и пожарными автомобилями (в штуках, количество депо (пожарных машин) на 1тыс. жителей и (или) на площадь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дошкольного учреждения (в квадратных метрах на 1 место);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образовательного учреждения (в квадратных метрах на 1 учащегося);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размеров земельных участков учреждений и предприятий обслу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живания (в квадратных метрах на количество посетителей, служащих);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- нормативы радиуса обслуживания пожарного депо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радиуса обслуживания учреждений и предприятий (в метрах); иные расчетные показатели обеспеченности и интенсивности использования жилых и общественно-деловых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2) расчетные показатели потребности и интенсивности использования коммунально-складских и производственных зон: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площади помещений общетоварных складов (в квадратных метрах, 1 квадратный метр площади помещения на 1тыс. жителей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общетоварного склада (в квадратных метрах, 1 квадратный метр площади участка на 1тыс. жителей поселения); нормативы вместимости специализированных складов (в тоннах, тонн на 1тыс. жителей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специализированного склада (в квад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ратных метрах, 1 квадратный метр площади участка на 1тыс. жителей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иные расчетные показатели потребности и интенсивности использования коммунально-складских и производственных территорий,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3) расчетные показатели потребности в территориях зеленых насаждений общего пользования: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ширины защитных лесных полос вокруг поселений, расположенных в безлесных и малолесных районах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в территориях рекреации в пределах нормативной транспортной доступности (в процентах, 1 процент от площади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застроенной территории поселения зелеными насаждениями (в процентах, 1 процент от общей площади, застроенной территории);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жилой застройки зелеными насаждениями (в процентах, 1 процент от общей площади, жилой застройки); нормативы обеспеченности санитарно-защитных зон промышленных предприятий зелеными насаждениями (в процентах);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площади озелененных территорий общего пользования (в квадратных метрах, 1 квадратный метр на 1 человека в зависимости от общей численности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площади территорий парков, садов, скверов (в гектарах);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расстояния от городских парков до максимально удаленной части жилой застройки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(расчетное число) единовременных посетителей территории парков, скверов (количество посетителей на 1 гектар площади парка);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- нормативы площади питомников и цветочно-оранжерейных хозяйств городского значения (в квадратных метрах, 1 квадратный метр на 1 жителя поселения);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иные расчетные показатели потребности в территориях зеленых насаждений общего пользования,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4) расчетные показатели потребности и интенсивности использования улично-дорожной сети: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параметры улиц и дорог различных категорий;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плотность магистральных улиц и дорог населенных пунктов (в километрах на квадратный километр, отношение общей длины автомагистралей к площади застройки);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уровня автомобилизации (количество транспортных средств на 1тыс. жителей);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расстояние между въездами и сквозными проездами на территорию микрорайона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длина тупиковых проездов (в метрах); расстояние между пешеходными переходами (в метрах); расстояния от края проезжей части магистральных дорог и улиц до линии регулирования застройки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плотность сети общественного пассажирского транспорта на застроенных территориях (в километрах на квадратный километр); расстояние до ближайшей остановки общественного пассажирского транспорта от жилых домов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расстояние до ближайшей остановки общественного пассажирского транспорта от объектов массового посещения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расстояние между остановочными пунктами на линиях общественного пассажирского транспорта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иные расчетные показатели потребности и интенсивности использования улично-дорожной сети,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5)  расчетные показатели необходимого числа сооружений для хранения и обслуживания транспортных средств: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-нормативы обеспеченности местами хранения </w:t>
      </w:r>
      <w:hyperlink r:id="rId6" w:tooltip="Индивидуальный транспорт" w:history="1">
        <w:r w:rsidRPr="00CE7106">
          <w:rPr>
            <w:rFonts w:ascii="Times New Roman" w:eastAsia="Times New Roman" w:hAnsi="Times New Roman" w:cs="Times New Roman"/>
            <w:sz w:val="28"/>
            <w:szCs w:val="28"/>
          </w:rPr>
          <w:t>индивидуального транспорта</w:t>
        </w:r>
      </w:hyperlink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(в процентах, количество мест хранения от расчетного числа индивидуального транспорта);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обеспеченности местами парковки для учреждений и предприятий обслуживания (машино-мест на количество посетителей, служащих);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гаражей, стоянок автомобилей в зависимости от этажности (в квадратных метрах, 1 квадратных метр на количество машино-мест);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расстояние от стоянок временного хранения автомобилей до жилых и обще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ственных зданий и сооружений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расстояние от гаражных сооружений и открытых стоянок участков школ, детских садов и лечебных учреждений (в метрах);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автозаправочной станции (в гектарах, 1 гектар в зависимости от количества раздаточных колонок);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станции технического обслуживания транспортных средств (в гектарах, 1 гектар в зависимости от количества постов);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иные расчетные показатели необходимого числа сооружений для хранения и обслуживания транспортных средств,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6) расчетные показатели потребности в электро - тепло - водо - и газо-снабжении и обеспечении объектами </w:t>
      </w:r>
      <w:hyperlink r:id="rId7" w:tooltip="Коммунальное хозяйство" w:history="1">
        <w:r w:rsidRPr="00CE7106">
          <w:rPr>
            <w:rFonts w:ascii="Times New Roman" w:eastAsia="Times New Roman" w:hAnsi="Times New Roman" w:cs="Times New Roman"/>
            <w:sz w:val="28"/>
            <w:szCs w:val="28"/>
          </w:rPr>
          <w:t>коммунального хозяйства</w:t>
        </w:r>
      </w:hyperlink>
      <w:r w:rsidRPr="00CE71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укрупненные показатели электропотребления (в кВт-ч/ год, удельная расчетная нагрузка на 1 человека);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укрупненные показатели теплопотребления (в ккал/час/м2 или Вт/м2, удельный расход тепла на расчетный период);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укрупненные показатели водопотребления и водоотведения (л/сут, удельный расход на 1 жителя (среднесут.) за год);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укрупненные показатели газопотребления (МДж или ккал, метров кубических в год на 1 человека);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для размещения понизительных под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станций (в метрах квадратных);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для размещения котельных (в метрах квадратных);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для размещения очистных сооруже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ний (в гектарах);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для размещения газонаполнительных пунктов (в метрах квадратных);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накопления бытовых отходов (в килограммах или литрах, количество отходов на 1 жителя в год);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- нормативы размера земельного участка предприятий и сооружений по транс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портировке, обезвреживанию и переработке бытовых отходов (в гектарах, 1гектар на 1тыс. тонн в год);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- иные расчетные показатели потребности в электро - тепло - водо - и </w:t>
      </w:r>
      <w:hyperlink r:id="rId8" w:tooltip="Газоснабжение" w:history="1">
        <w:r w:rsidRPr="00CE7106">
          <w:rPr>
            <w:rFonts w:ascii="Times New Roman" w:eastAsia="Times New Roman" w:hAnsi="Times New Roman" w:cs="Times New Roman"/>
            <w:sz w:val="28"/>
            <w:szCs w:val="28"/>
          </w:rPr>
          <w:t>газоснабжении</w:t>
        </w:r>
      </w:hyperlink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обеспечении объектами коммунального хозяйства, предусмотренные в решении Правительства Оренбургской области о подготовке региональных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2.3. Местные нормативы градостроительного проектирования, содержащие минимальные расчетные показатели обеспечения благоприятных условий жизнедеятельности человека не могут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Порядок подготовки и утверждения местных нормативов.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3.1. Администрацией сельского поселения принимается постановление о подготовке местных нормативов градостроительного проектирования.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3.2. В постановлении администрации сельского поселения о подготовке местных нормативов градостроительного проекти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рования наряду с другими сведениями должны содержаться: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1)  перечень расчетных показателей, которые должны быть отражены в местных нормативах градостроительного проектирования или ссылка на техническое задание по разработке проекта местных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2)  указания на сроки разработки проекта местных нормативов градострои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>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3)  указания о стоимости работ по разработке проекта местных нормативов градостроительного проектирования.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3.3. Администрация сельского поселения осуществляет организацию работ по разработке проекта местных нормативов градостроительного проектирования, в том числе: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1) организует и проводит торги на право заключения договора на подготовку проекта местных нормативов градостроительного проектирования,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2) готовит и утверждает техническое задание на разработку проекта местных нормативов градостроительного проектирования;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3) выступает в качестве заказчика работ по договору на разработку проекта местных нормативов градостроительного проектирования.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3.4. Основные требования к оформлению и содержанию проекта местных нормативов градостроительного проектирования содержатся в техническом задании на разработку проекта местных нормативов градостроительного проектирования, разработанных в соответствии с настоящим положением.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3.5. С организацией - победителем торгов заключается контракт (договор) на разработку местных нормативов градостроительного проектирования.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3.6. Организация, осуществляющая разработку местных нормативов градостроительного проектирования, может привлекать для выполнения отдельных видов работ проектные, научно-исследовательские институты, экспертные учреждения и другие органы и организации.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3.7. Разработанный, в соответствии с техническим заданием, проект местных нормативов градостроительного проектирования согласовывается разработчиком с администрацией сельского поселения, администрацией муниципального образования Саракташский район Оренбургской области (далее – администрация района), другими федеральными надзорными органами и муниципальными организациями и службами, заинтересованными в принятии указанных нормативов.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lastRenderedPageBreak/>
        <w:t>3.8. Перечень согласующих организаций и органов определяется администрацией сельского поселения совместно с отделом по вопросам ар</w:t>
      </w:r>
      <w:r w:rsidRPr="00CE71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хитектуры, градостроительства и </w:t>
      </w:r>
      <w:hyperlink r:id="rId9" w:tooltip="Жилищно-коммунальные хозяйства" w:history="1">
        <w:r w:rsidRPr="00CE7106">
          <w:rPr>
            <w:rFonts w:ascii="Times New Roman" w:eastAsia="Times New Roman" w:hAnsi="Times New Roman" w:cs="Times New Roman"/>
            <w:sz w:val="28"/>
            <w:szCs w:val="28"/>
          </w:rPr>
          <w:t>ЖКХ</w:t>
        </w:r>
      </w:hyperlink>
      <w:r w:rsidRPr="00CE71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в ходе подготовки технического задания, в соответствии с требованиями настоящего Положения, законодательных и иных нормативных правовых актов Российской Федерации, Оренбургской области, Саракташского района, сельского поселения. 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3.9. После получения всех необходимых согласований и положительных заключений проект местных нормативов градостроительного проектирования представляются на рассмотрение главе сельского поселения.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3.10. Глава сельского поселения, с учетом предоставленного проекта местных нормативов градостроительного проектирования и материалов по их согласованию, не более чем за 30 (тридцать) дней, принимает решение о направлении проекта на утверждение в Совет депутатов сельского поселения, или об отклонении такого проекта и направлении его на доработку.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3.11. Решение об утверждении местных нормативов градостроительного проектирования принимает Совет депутатов сельского поселения.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 осуществляется с учетом особенностей населенных пунктов в границах сельского поселения.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3.12. Утвержденные Советом депутатов сельского поселения местные нормативы градостроительного проектирования подлежат обнародованию в порядке, установленном для нормативных правовых актов сельского поселения, и размещаются на официальном сайте сельского поселения в сети Интернет.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3.13. Утвержденные местные нормативы градостроительного проектирования подлежат учету в реестре нормативов градостроительного проектирования сельского поселения.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3.14. В случае передачи своих полномочий, при исполнении которых необходим учет данных нормативов, администрация сельского поселения на безвозмездной основе передает копии (на бумажном и в электронном виде) местные нормативы градостроительного проектирования исполняющей стороне.</w:t>
      </w:r>
    </w:p>
    <w:p w:rsidR="002E413B" w:rsidRPr="00CE7106" w:rsidRDefault="002E413B" w:rsidP="002E4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06">
        <w:rPr>
          <w:rFonts w:ascii="Times New Roman" w:eastAsia="Times New Roman" w:hAnsi="Times New Roman" w:cs="Times New Roman"/>
          <w:sz w:val="28"/>
          <w:szCs w:val="28"/>
        </w:rPr>
        <w:t>3.15. Внесение изменений в местные нормативы градостроительного проектирования осуществляется в порядке, предусмотренном настоящим Положением, а также в порядке установленным для внесения изменений в нормативно правовые актов органов местного самоуправления сельского поселения.</w:t>
      </w:r>
    </w:p>
    <w:p w:rsidR="002E413B" w:rsidRPr="00CE7106" w:rsidRDefault="002E413B" w:rsidP="002E413B">
      <w:pPr>
        <w:rPr>
          <w:rFonts w:ascii="Times New Roman" w:hAnsi="Times New Roman" w:cs="Times New Roman"/>
        </w:rPr>
      </w:pPr>
    </w:p>
    <w:p w:rsidR="00EA3395" w:rsidRPr="00EA3395" w:rsidRDefault="00EA3395" w:rsidP="00EA33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A3395" w:rsidRPr="00EA3395" w:rsidRDefault="00EA3395" w:rsidP="00EA3395">
      <w:pPr>
        <w:rPr>
          <w:rFonts w:ascii="Times New Roman" w:hAnsi="Times New Roman" w:cs="Times New Roman"/>
          <w:sz w:val="18"/>
        </w:rPr>
      </w:pPr>
    </w:p>
    <w:sectPr w:rsidR="00EA3395" w:rsidRPr="00EA3395" w:rsidSect="006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95"/>
    <w:rsid w:val="0009107F"/>
    <w:rsid w:val="00093007"/>
    <w:rsid w:val="002E413B"/>
    <w:rsid w:val="00546B77"/>
    <w:rsid w:val="00623D93"/>
    <w:rsid w:val="008E30EA"/>
    <w:rsid w:val="00BC126D"/>
    <w:rsid w:val="00EA3395"/>
    <w:rsid w:val="00ED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58001-E189-4EBC-9E2A-CA14D31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7B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gazosnabz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kommunalmznoe_hozyaj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dividualmznij_trans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zhilishno_kommunalmznie_hozyaj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2021-07-09T03:46:00Z</dcterms:created>
  <dcterms:modified xsi:type="dcterms:W3CDTF">2021-07-09T03:46:00Z</dcterms:modified>
</cp:coreProperties>
</file>