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FD" w:rsidRPr="009134AA" w:rsidRDefault="009441BE" w:rsidP="00AF07F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AF07FD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FD" w:rsidRPr="009134AA" w:rsidRDefault="00AF07FD" w:rsidP="00AF07F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AF07FD" w:rsidRPr="009134AA" w:rsidRDefault="00AF07FD" w:rsidP="00AF07F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AF07FD" w:rsidRPr="009134AA" w:rsidRDefault="00AF07FD" w:rsidP="00AF07FD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AF07FD" w:rsidRPr="009134AA" w:rsidRDefault="00AF07FD" w:rsidP="00AF07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AF07FD" w:rsidRPr="00EA0AA7" w:rsidRDefault="00AF07FD" w:rsidP="00AF07F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 двенадцатого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AF07FD" w:rsidRPr="00EA0AA7" w:rsidRDefault="00AF07FD" w:rsidP="00AF07F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AF07FD" w:rsidRPr="009134AA" w:rsidRDefault="00AF07FD" w:rsidP="00AF07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AF07FD" w:rsidRPr="009134AA" w:rsidTr="008C0A66">
        <w:trPr>
          <w:trHeight w:val="388"/>
        </w:trPr>
        <w:tc>
          <w:tcPr>
            <w:tcW w:w="3067" w:type="dxa"/>
          </w:tcPr>
          <w:p w:rsidR="00AF07FD" w:rsidRPr="00AF07FD" w:rsidRDefault="00AF07FD" w:rsidP="008C0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A6115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AF07FD" w:rsidRDefault="00AF07FD" w:rsidP="008C0A66"/>
          <w:p w:rsidR="00AF07FD" w:rsidRPr="00041C88" w:rsidRDefault="00AF07FD" w:rsidP="008C0A66">
            <w:pPr>
              <w:jc w:val="center"/>
            </w:pPr>
          </w:p>
        </w:tc>
        <w:tc>
          <w:tcPr>
            <w:tcW w:w="3042" w:type="dxa"/>
          </w:tcPr>
          <w:p w:rsidR="00AF07FD" w:rsidRPr="009134AA" w:rsidRDefault="00AF07FD" w:rsidP="008C0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</w:t>
            </w:r>
            <w:r w:rsidR="008C0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Бурунча</w:t>
            </w:r>
          </w:p>
        </w:tc>
        <w:tc>
          <w:tcPr>
            <w:tcW w:w="3488" w:type="dxa"/>
          </w:tcPr>
          <w:p w:rsidR="00AF07FD" w:rsidRPr="009134AA" w:rsidRDefault="00AF07FD" w:rsidP="00AF07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A6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1A6222"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F1748F" w:rsidRPr="00D12F2C" w:rsidRDefault="00F1748F" w:rsidP="00F1748F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2F2C">
        <w:rPr>
          <w:b/>
          <w:sz w:val="28"/>
          <w:szCs w:val="28"/>
        </w:rPr>
        <w:t xml:space="preserve">Об утверждении Положения о </w:t>
      </w:r>
      <w:r w:rsidRPr="00D12F2C">
        <w:rPr>
          <w:b/>
          <w:bCs/>
          <w:sz w:val="28"/>
          <w:szCs w:val="28"/>
        </w:rPr>
        <w:t xml:space="preserve">порядке оплаты труда  </w:t>
      </w:r>
    </w:p>
    <w:p w:rsidR="00F1748F" w:rsidRPr="00D12F2C" w:rsidRDefault="00F1748F" w:rsidP="00F1748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2F2C">
        <w:rPr>
          <w:b/>
          <w:sz w:val="28"/>
          <w:szCs w:val="28"/>
        </w:rPr>
        <w:t>главы муниципального образования Бурунчинский  сельсовет Саракташского района Оренбургской области</w:t>
      </w:r>
    </w:p>
    <w:p w:rsidR="00F1748F" w:rsidRPr="00DC1D2F" w:rsidRDefault="00F1748F" w:rsidP="00F1748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53"/>
      </w:tblGrid>
      <w:tr w:rsidR="00F1748F" w:rsidRPr="00175F70" w:rsidTr="008C0A66">
        <w:trPr>
          <w:jc w:val="center"/>
        </w:trPr>
        <w:tc>
          <w:tcPr>
            <w:tcW w:w="7353" w:type="dxa"/>
            <w:shd w:val="clear" w:color="auto" w:fill="auto"/>
          </w:tcPr>
          <w:p w:rsidR="00F1748F" w:rsidRPr="00175F70" w:rsidRDefault="00F1748F" w:rsidP="008C0A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1748F" w:rsidRPr="0075017C" w:rsidRDefault="00F1748F" w:rsidP="00F1748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017C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Pr="0075017C">
          <w:rPr>
            <w:rFonts w:ascii="Times New Roman" w:hAnsi="Times New Roman"/>
            <w:sz w:val="28"/>
            <w:szCs w:val="28"/>
          </w:rPr>
          <w:t>пункта 4 статьи 86</w:t>
        </w:r>
      </w:hyperlink>
      <w:r w:rsidRPr="0075017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75017C">
        <w:rPr>
          <w:rFonts w:ascii="Times New Roman" w:hAnsi="Times New Roman"/>
          <w:bCs/>
          <w:sz w:val="28"/>
          <w:szCs w:val="28"/>
        </w:rPr>
        <w:t>1611/339-IV-ОЗ «О муниципальной службе в Оренбургской области»</w:t>
      </w:r>
      <w:r w:rsidRPr="0075017C">
        <w:rPr>
          <w:rFonts w:ascii="Times New Roman" w:hAnsi="Times New Roman"/>
          <w:sz w:val="28"/>
          <w:szCs w:val="28"/>
        </w:rPr>
        <w:t xml:space="preserve"> и руководствуясь </w:t>
      </w:r>
      <w:hyperlink r:id="rId7" w:history="1">
        <w:r w:rsidRPr="0075017C">
          <w:rPr>
            <w:rFonts w:ascii="Times New Roman" w:hAnsi="Times New Roman"/>
            <w:sz w:val="28"/>
            <w:szCs w:val="28"/>
          </w:rPr>
          <w:t>статьей 28</w:t>
        </w:r>
      </w:hyperlink>
      <w:r w:rsidRPr="0075017C">
        <w:rPr>
          <w:rFonts w:ascii="Times New Roman" w:eastAsia="Calibri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 xml:space="preserve">Бурунчинский </w:t>
      </w:r>
      <w:r w:rsidRPr="0075017C">
        <w:rPr>
          <w:rFonts w:ascii="Times New Roman" w:eastAsia="Calibri" w:hAnsi="Times New Roman"/>
          <w:sz w:val="28"/>
          <w:szCs w:val="28"/>
        </w:rPr>
        <w:t xml:space="preserve">сельсовет Саракташского  района Оренбургской области </w:t>
      </w:r>
    </w:p>
    <w:p w:rsidR="00F1748F" w:rsidRPr="0075017C" w:rsidRDefault="00F1748F" w:rsidP="00F1748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1748F" w:rsidRPr="0075017C" w:rsidRDefault="00F1748F" w:rsidP="00F174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017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75017C">
        <w:rPr>
          <w:rFonts w:ascii="Times New Roman" w:hAnsi="Times New Roman"/>
          <w:sz w:val="28"/>
          <w:szCs w:val="28"/>
        </w:rPr>
        <w:t xml:space="preserve"> сельсовета </w:t>
      </w:r>
    </w:p>
    <w:p w:rsidR="00F1748F" w:rsidRPr="0075017C" w:rsidRDefault="00F1748F" w:rsidP="00F174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017C">
        <w:rPr>
          <w:rFonts w:ascii="Times New Roman" w:hAnsi="Times New Roman"/>
          <w:sz w:val="28"/>
          <w:szCs w:val="28"/>
        </w:rPr>
        <w:t>РЕШИЛ:</w:t>
      </w:r>
    </w:p>
    <w:p w:rsidR="00F1748F" w:rsidRPr="0075017C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7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Pr="0075017C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75017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 согласно приложению к настоящему решению.</w:t>
      </w:r>
    </w:p>
    <w:p w:rsidR="00F1748F" w:rsidRPr="003A0D4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2B98">
        <w:rPr>
          <w:rFonts w:ascii="Times New Roman" w:hAnsi="Times New Roman" w:cs="Times New Roman"/>
          <w:sz w:val="28"/>
          <w:szCs w:val="28"/>
        </w:rPr>
        <w:t xml:space="preserve">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3C1946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2021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Бурунчинский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F1748F" w:rsidRPr="0064441D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1E58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 w:rsidRPr="0064441D">
        <w:rPr>
          <w:rFonts w:ascii="Times New Roman" w:hAnsi="Times New Roman"/>
          <w:sz w:val="28"/>
          <w:szCs w:val="28"/>
        </w:rPr>
        <w:t>(Горбачев И.А.).</w:t>
      </w:r>
    </w:p>
    <w:p w:rsidR="00F1748F" w:rsidRPr="004473C0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150" w:rsidRDefault="00A61150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150" w:rsidRDefault="00A61150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150" w:rsidRDefault="00A61150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150" w:rsidRDefault="00A61150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Pr="006B614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>
        <w:rPr>
          <w:rFonts w:ascii="Times New Roman" w:hAnsi="Times New Roman"/>
          <w:sz w:val="28"/>
          <w:szCs w:val="28"/>
        </w:rPr>
        <w:t>С.Н.Жуков</w:t>
      </w:r>
    </w:p>
    <w:p w:rsidR="00F1748F" w:rsidRPr="006B614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Pr="006B614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1748F" w:rsidRPr="006B614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А.Н.Логинов</w:t>
      </w:r>
    </w:p>
    <w:p w:rsidR="00F1748F" w:rsidRPr="006B614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Pr="004473C0" w:rsidRDefault="00F1748F" w:rsidP="00F1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1748F" w:rsidRPr="006402BB" w:rsidRDefault="00F1748F" w:rsidP="00F1748F">
      <w:pPr>
        <w:tabs>
          <w:tab w:val="left" w:pos="1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1748F" w:rsidRPr="00F91E58" w:rsidRDefault="00F1748F" w:rsidP="00F1748F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ind w:left="5245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748F" w:rsidRPr="0062552C" w:rsidRDefault="00F1748F" w:rsidP="00F1748F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62552C">
        <w:rPr>
          <w:rFonts w:ascii="Times New Roman" w:hAnsi="Times New Roman"/>
          <w:sz w:val="28"/>
          <w:szCs w:val="28"/>
        </w:rPr>
        <w:t xml:space="preserve"> </w:t>
      </w:r>
    </w:p>
    <w:p w:rsidR="00F1748F" w:rsidRPr="0062552C" w:rsidRDefault="00F1748F" w:rsidP="00F1748F">
      <w:pPr>
        <w:ind w:left="5245"/>
        <w:rPr>
          <w:rFonts w:ascii="Times New Roman" w:hAnsi="Times New Roman"/>
          <w:sz w:val="28"/>
          <w:szCs w:val="28"/>
        </w:rPr>
      </w:pPr>
      <w:r w:rsidRPr="0062552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F1748F" w:rsidRPr="0062552C" w:rsidRDefault="00F1748F" w:rsidP="00F1748F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Pr="0062552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F1748F" w:rsidRPr="0062552C" w:rsidRDefault="00F1748F" w:rsidP="00F1748F">
      <w:pPr>
        <w:ind w:left="5245"/>
        <w:rPr>
          <w:rFonts w:ascii="Times New Roman" w:hAnsi="Times New Roman"/>
          <w:sz w:val="28"/>
          <w:szCs w:val="28"/>
        </w:rPr>
      </w:pPr>
      <w:r w:rsidRPr="0062552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12.11</w:t>
      </w:r>
      <w:r w:rsidRPr="0062552C">
        <w:rPr>
          <w:rFonts w:ascii="Times New Roman" w:hAnsi="Times New Roman"/>
          <w:sz w:val="28"/>
          <w:szCs w:val="28"/>
        </w:rPr>
        <w:t>.2021   №</w:t>
      </w:r>
      <w:r w:rsidR="008C6842">
        <w:rPr>
          <w:rFonts w:ascii="Times New Roman" w:hAnsi="Times New Roman"/>
          <w:sz w:val="28"/>
          <w:szCs w:val="28"/>
        </w:rPr>
        <w:t xml:space="preserve"> 48</w:t>
      </w:r>
    </w:p>
    <w:p w:rsidR="00F1748F" w:rsidRDefault="00F1748F" w:rsidP="00F1748F">
      <w:pPr>
        <w:ind w:firstLine="709"/>
        <w:jc w:val="center"/>
        <w:rPr>
          <w:sz w:val="28"/>
          <w:szCs w:val="28"/>
        </w:rPr>
      </w:pPr>
    </w:p>
    <w:p w:rsidR="00F1748F" w:rsidRDefault="00F1748F" w:rsidP="00F1748F">
      <w:pPr>
        <w:ind w:firstLine="709"/>
        <w:jc w:val="center"/>
        <w:rPr>
          <w:sz w:val="28"/>
          <w:szCs w:val="28"/>
        </w:rPr>
      </w:pPr>
    </w:p>
    <w:p w:rsidR="00F1748F" w:rsidRPr="009B4476" w:rsidRDefault="00F1748F" w:rsidP="00F1748F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8" w:anchor="Par36" w:tooltip="ПОЛОЖЕНИЕ" w:history="1">
        <w:r w:rsidRPr="009B4476"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 w:rsidRPr="009B4476">
        <w:rPr>
          <w:sz w:val="28"/>
          <w:szCs w:val="28"/>
        </w:rPr>
        <w:t xml:space="preserve"> </w:t>
      </w:r>
      <w:r w:rsidRPr="0075017C">
        <w:rPr>
          <w:sz w:val="28"/>
          <w:szCs w:val="28"/>
        </w:rPr>
        <w:t xml:space="preserve">о </w:t>
      </w:r>
      <w:r w:rsidRPr="0075017C">
        <w:rPr>
          <w:bCs/>
          <w:sz w:val="28"/>
          <w:szCs w:val="28"/>
        </w:rPr>
        <w:t xml:space="preserve">порядке оплаты труда </w:t>
      </w:r>
      <w:r w:rsidRPr="0075017C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>Бурунчинский</w:t>
      </w:r>
      <w:r w:rsidRPr="0075017C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F1748F" w:rsidRDefault="00F1748F" w:rsidP="00F1748F">
      <w:pPr>
        <w:ind w:firstLine="709"/>
        <w:jc w:val="center"/>
        <w:rPr>
          <w:sz w:val="28"/>
          <w:szCs w:val="28"/>
        </w:rPr>
      </w:pPr>
    </w:p>
    <w:p w:rsidR="00F1748F" w:rsidRPr="005972D0" w:rsidRDefault="00F1748F" w:rsidP="00F174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</w:t>
      </w:r>
      <w:r>
        <w:rPr>
          <w:sz w:val="28"/>
          <w:szCs w:val="28"/>
        </w:rPr>
        <w:t xml:space="preserve">, то есть </w:t>
      </w:r>
      <w:r>
        <w:rPr>
          <w:b/>
          <w:bCs/>
          <w:sz w:val="28"/>
          <w:szCs w:val="28"/>
        </w:rPr>
        <w:t xml:space="preserve"> </w:t>
      </w:r>
      <w:r w:rsidRPr="00391693">
        <w:rPr>
          <w:bCs/>
          <w:sz w:val="28"/>
          <w:szCs w:val="28"/>
        </w:rPr>
        <w:t>главы муниципального образования</w:t>
      </w:r>
      <w:r w:rsidRPr="009E4D0A">
        <w:rPr>
          <w:sz w:val="28"/>
          <w:szCs w:val="28"/>
        </w:rPr>
        <w:t xml:space="preserve"> </w:t>
      </w:r>
      <w:r>
        <w:rPr>
          <w:sz w:val="28"/>
          <w:szCs w:val="28"/>
        </w:rPr>
        <w:t>Бурунчинский</w:t>
      </w:r>
      <w:r w:rsidRPr="0075017C">
        <w:rPr>
          <w:sz w:val="28"/>
          <w:szCs w:val="28"/>
        </w:rPr>
        <w:t xml:space="preserve"> сельсовет Саракташского района Оренбургской области</w:t>
      </w:r>
      <w:r w:rsidRPr="005972D0">
        <w:rPr>
          <w:sz w:val="28"/>
          <w:szCs w:val="28"/>
        </w:rPr>
        <w:t>.</w:t>
      </w:r>
    </w:p>
    <w:p w:rsidR="00F1748F" w:rsidRPr="0037388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8F" w:rsidRPr="009E4D0A" w:rsidRDefault="00F1748F" w:rsidP="00F1748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D0A">
        <w:rPr>
          <w:rFonts w:ascii="Times New Roman" w:hAnsi="Times New Roman" w:cs="Times New Roman"/>
          <w:sz w:val="28"/>
          <w:szCs w:val="28"/>
        </w:rPr>
        <w:t xml:space="preserve">1. Состав денежного содержания </w:t>
      </w:r>
      <w:r w:rsidRPr="009E4D0A">
        <w:rPr>
          <w:rFonts w:ascii="Times New Roman" w:hAnsi="Times New Roman" w:cs="Times New Roman"/>
          <w:bCs/>
          <w:sz w:val="28"/>
          <w:szCs w:val="28"/>
        </w:rPr>
        <w:t>главы муниципального</w:t>
      </w:r>
    </w:p>
    <w:p w:rsidR="00F1748F" w:rsidRPr="009E4D0A" w:rsidRDefault="00F1748F" w:rsidP="00F1748F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4D0A">
        <w:rPr>
          <w:bCs/>
          <w:sz w:val="28"/>
          <w:szCs w:val="28"/>
        </w:rPr>
        <w:t xml:space="preserve">образования </w:t>
      </w:r>
      <w:r>
        <w:rPr>
          <w:sz w:val="28"/>
          <w:szCs w:val="28"/>
        </w:rPr>
        <w:t>Бурунчинский</w:t>
      </w:r>
      <w:r w:rsidRPr="009E4D0A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F1748F" w:rsidRPr="009E4D0A" w:rsidRDefault="00F1748F" w:rsidP="00F1748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48F" w:rsidRPr="009E4D0A" w:rsidRDefault="00F1748F" w:rsidP="00F17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48F" w:rsidRPr="009B4476" w:rsidRDefault="00F1748F" w:rsidP="00F174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972D0">
        <w:rPr>
          <w:sz w:val="28"/>
          <w:szCs w:val="28"/>
        </w:rPr>
        <w:t xml:space="preserve"> Денежное содержание </w:t>
      </w:r>
      <w:r>
        <w:rPr>
          <w:sz w:val="28"/>
          <w:szCs w:val="28"/>
        </w:rPr>
        <w:t xml:space="preserve">главы </w:t>
      </w:r>
      <w:r w:rsidRPr="00C0207F"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Бурунчинский</w:t>
      </w:r>
      <w:r w:rsidRPr="0075017C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F1748F" w:rsidRPr="005972D0" w:rsidRDefault="00F1748F" w:rsidP="00F17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– глава муниципального образования) </w:t>
      </w:r>
      <w:r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7"/>
      <w:bookmarkEnd w:id="1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79"/>
      <w:bookmarkEnd w:id="2"/>
      <w:r w:rsidRPr="005972D0">
        <w:rPr>
          <w:rFonts w:ascii="Times New Roman" w:hAnsi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выплачиваемая в размерах и порядке, определяемых законодательством Российской Федерации;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80"/>
      <w:bookmarkEnd w:id="3"/>
      <w:r w:rsidRPr="005972D0">
        <w:rPr>
          <w:rFonts w:ascii="Times New Roman" w:hAnsi="Times New Roman"/>
          <w:sz w:val="28"/>
          <w:szCs w:val="28"/>
        </w:rPr>
        <w:t>4) ежемесячное денежное поощрение;</w:t>
      </w:r>
    </w:p>
    <w:p w:rsidR="00F1748F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 w:rsidRPr="005972D0">
        <w:rPr>
          <w:rFonts w:ascii="Times New Roman" w:hAnsi="Times New Roman"/>
          <w:sz w:val="28"/>
          <w:szCs w:val="28"/>
        </w:rPr>
        <w:lastRenderedPageBreak/>
        <w:t>5) единовременная выплата при предоставлении ежегодного оплачиваемого отпуска;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премия за выполнение особо важных и сложных заданий;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2"/>
      <w:bookmarkEnd w:id="5"/>
      <w:r>
        <w:rPr>
          <w:rFonts w:ascii="Times New Roman" w:hAnsi="Times New Roman"/>
          <w:sz w:val="28"/>
          <w:szCs w:val="28"/>
        </w:rPr>
        <w:t>7</w:t>
      </w:r>
      <w:r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83"/>
      <w:bookmarkEnd w:id="6"/>
      <w:r>
        <w:rPr>
          <w:rFonts w:ascii="Times New Roman" w:hAnsi="Times New Roman"/>
          <w:sz w:val="28"/>
          <w:szCs w:val="28"/>
        </w:rPr>
        <w:t>8</w:t>
      </w:r>
      <w:r w:rsidRPr="005972D0">
        <w:rPr>
          <w:rFonts w:ascii="Times New Roman" w:hAnsi="Times New Roman"/>
          <w:sz w:val="28"/>
          <w:szCs w:val="28"/>
        </w:rPr>
        <w:t>) материальная помощь.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2. К денежному содержанию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районный коэффициент в размере, определенном федеральным законодательством.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3. Выплаты, указанные в </w:t>
      </w:r>
      <w:hyperlink w:anchor="P77" w:history="1">
        <w:r w:rsidRPr="00391693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39169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391693">
        <w:rPr>
          <w:rFonts w:ascii="Times New Roman" w:hAnsi="Times New Roman"/>
          <w:sz w:val="28"/>
          <w:szCs w:val="28"/>
        </w:rPr>
        <w:t xml:space="preserve"> </w:t>
      </w:r>
      <w:hyperlink w:anchor="P79" w:history="1">
        <w:r w:rsidRPr="00391693">
          <w:rPr>
            <w:rFonts w:ascii="Times New Roman" w:hAnsi="Times New Roman"/>
            <w:sz w:val="28"/>
            <w:szCs w:val="28"/>
          </w:rPr>
          <w:t>пункта 1</w:t>
        </w:r>
      </w:hyperlink>
      <w:r>
        <w:rPr>
          <w:rFonts w:ascii="Times New Roman" w:hAnsi="Times New Roman"/>
          <w:sz w:val="28"/>
          <w:szCs w:val="28"/>
        </w:rPr>
        <w:t>.1</w:t>
      </w:r>
      <w:r w:rsidRPr="005972D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 xml:space="preserve">, устанавливаются (выплачиваются) 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области,</w:t>
      </w:r>
      <w:r w:rsidRPr="00B24193"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принятого во исполнение решения Совета депутатов муниципального образования</w:t>
      </w:r>
      <w:r w:rsidRPr="009E4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области,</w:t>
      </w:r>
      <w:r w:rsidRPr="005972D0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F1748F" w:rsidRPr="005972D0" w:rsidRDefault="00F1748F" w:rsidP="00F1748F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1748F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2. Должностной  оклад главы муниципального образования</w:t>
      </w:r>
    </w:p>
    <w:p w:rsidR="00F1748F" w:rsidRPr="009E4D0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748F" w:rsidRPr="009E4D0A" w:rsidRDefault="00F1748F" w:rsidP="00F1748F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>главы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Pr="009E4D0A">
        <w:rPr>
          <w:rFonts w:ascii="Times New Roman" w:hAnsi="Times New Roman"/>
          <w:sz w:val="28"/>
          <w:szCs w:val="28"/>
        </w:rPr>
        <w:t>1</w:t>
      </w:r>
      <w:r w:rsidR="005D31DD">
        <w:rPr>
          <w:rFonts w:ascii="Times New Roman" w:hAnsi="Times New Roman"/>
          <w:sz w:val="28"/>
          <w:szCs w:val="28"/>
        </w:rPr>
        <w:t>1 5</w:t>
      </w:r>
      <w:r w:rsidRPr="009E4D0A">
        <w:rPr>
          <w:rFonts w:ascii="Times New Roman" w:hAnsi="Times New Roman"/>
          <w:sz w:val="28"/>
          <w:szCs w:val="28"/>
        </w:rPr>
        <w:t>1</w:t>
      </w:r>
      <w:r w:rsidR="005D31DD">
        <w:rPr>
          <w:rFonts w:ascii="Times New Roman" w:hAnsi="Times New Roman"/>
          <w:sz w:val="28"/>
          <w:szCs w:val="28"/>
        </w:rPr>
        <w:t>6</w:t>
      </w:r>
      <w:r w:rsidRPr="009E4D0A">
        <w:rPr>
          <w:rFonts w:ascii="Times New Roman" w:hAnsi="Times New Roman"/>
          <w:sz w:val="28"/>
          <w:szCs w:val="28"/>
        </w:rPr>
        <w:t>,00  руб</w:t>
      </w:r>
      <w:r>
        <w:rPr>
          <w:rFonts w:ascii="Times New Roman" w:hAnsi="Times New Roman"/>
          <w:sz w:val="28"/>
          <w:szCs w:val="28"/>
        </w:rPr>
        <w:t>ль.</w:t>
      </w:r>
    </w:p>
    <w:p w:rsidR="00F1748F" w:rsidRPr="005972D0" w:rsidRDefault="00F1748F" w:rsidP="00F1748F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1748F" w:rsidRPr="009E4D0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3. Ежемесячная надбавка к должностному окладу за особые условия работы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/>
          <w:sz w:val="28"/>
          <w:szCs w:val="28"/>
        </w:rPr>
        <w:t>50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F1748F" w:rsidRPr="005972D0" w:rsidRDefault="00F1748F" w:rsidP="00F1748F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1748F" w:rsidRPr="009E4D0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4. Ежемесячная надбавка к должностному окладу за выслугу лет</w:t>
      </w:r>
    </w:p>
    <w:p w:rsidR="00F1748F" w:rsidRPr="009E4D0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F1748F" w:rsidRDefault="00F1748F" w:rsidP="00F1748F">
      <w:pPr>
        <w:tabs>
          <w:tab w:val="left" w:pos="380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748F" w:rsidRPr="005972D0" w:rsidRDefault="00F1748F" w:rsidP="00F1748F">
      <w:pPr>
        <w:tabs>
          <w:tab w:val="left" w:pos="380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lastRenderedPageBreak/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Процент надбавки</w:t>
            </w:r>
          </w:p>
        </w:tc>
      </w:tr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1748F" w:rsidRPr="005972D0" w:rsidTr="008C0A66">
        <w:tc>
          <w:tcPr>
            <w:tcW w:w="4819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F1748F" w:rsidRPr="005972D0" w:rsidRDefault="00F1748F" w:rsidP="008C0A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6. Стаж работы для выплаты ежемесячной надбавки за выслугу лет устанавливается на основании </w:t>
      </w:r>
      <w:hyperlink r:id="rId9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>
        <w:rPr>
          <w:rFonts w:ascii="Times New Roman" w:hAnsi="Times New Roman"/>
          <w:sz w:val="28"/>
          <w:szCs w:val="28"/>
        </w:rPr>
        <w:t xml:space="preserve"> трудового стажа.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возлагается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Бурунчинского сельсовета.</w:t>
      </w:r>
    </w:p>
    <w:p w:rsidR="00F1748F" w:rsidRDefault="00F1748F" w:rsidP="00F1748F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Pr="007168B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68BA">
        <w:rPr>
          <w:rFonts w:ascii="Times New Roman" w:hAnsi="Times New Roman"/>
          <w:sz w:val="28"/>
          <w:szCs w:val="28"/>
        </w:rPr>
        <w:t>. Ежемесячное денежное поощрение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972D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настоящего Положения </w:t>
      </w:r>
      <w:r w:rsidRPr="005972D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в размере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455B2">
        <w:rPr>
          <w:rFonts w:ascii="Times New Roman" w:hAnsi="Times New Roman"/>
          <w:sz w:val="28"/>
          <w:szCs w:val="28"/>
        </w:rPr>
        <w:t xml:space="preserve">110 </w:t>
      </w:r>
      <w:r w:rsidRPr="005972D0">
        <w:rPr>
          <w:rFonts w:ascii="Times New Roman" w:hAnsi="Times New Roman"/>
          <w:sz w:val="28"/>
          <w:szCs w:val="28"/>
        </w:rPr>
        <w:t>процентов должностного оклада.</w:t>
      </w:r>
    </w:p>
    <w:p w:rsidR="00F1748F" w:rsidRPr="005972D0" w:rsidRDefault="00F1748F" w:rsidP="00F1748F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1748F" w:rsidRPr="007168B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168BA">
        <w:rPr>
          <w:rFonts w:ascii="Times New Roman" w:hAnsi="Times New Roman"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двух  должностных окладов </w:t>
      </w:r>
      <w:r w:rsidRPr="005972D0">
        <w:rPr>
          <w:rFonts w:ascii="Times New Roman" w:hAnsi="Times New Roman"/>
          <w:sz w:val="28"/>
          <w:szCs w:val="28"/>
        </w:rPr>
        <w:t>в год</w:t>
      </w:r>
      <w:r w:rsidRPr="005972D0">
        <w:rPr>
          <w:rFonts w:cs="Calibri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во исполнение решения Совета депутатов муниципального образования</w:t>
      </w:r>
      <w:r w:rsidRPr="009E4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72D0">
        <w:rPr>
          <w:rFonts w:ascii="Times New Roman" w:hAnsi="Times New Roman"/>
          <w:sz w:val="28"/>
          <w:szCs w:val="28"/>
        </w:rPr>
        <w:t xml:space="preserve">2. В случае если </w:t>
      </w: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не использовал в течение года своего права на отпуск, единовременная выплата производится в конце текущего года на основании</w:t>
      </w:r>
      <w:r w:rsidRPr="00716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F1748F" w:rsidRDefault="00F1748F" w:rsidP="00F17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48F" w:rsidRPr="007168BA" w:rsidRDefault="00F1748F" w:rsidP="00F17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68BA">
        <w:rPr>
          <w:rFonts w:ascii="Times New Roman" w:hAnsi="Times New Roman" w:cs="Times New Roman"/>
          <w:sz w:val="28"/>
          <w:szCs w:val="28"/>
        </w:rPr>
        <w:t>. Премия за выполнение особо важных и сложных заданий</w:t>
      </w:r>
    </w:p>
    <w:p w:rsidR="00F1748F" w:rsidRPr="007168BA" w:rsidRDefault="00F1748F" w:rsidP="00F17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 </w:t>
      </w:r>
      <w:r w:rsidRPr="0037388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Бурунчинского сельсовета,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F1748F" w:rsidRPr="0037388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Премия за выполнение особо важных 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F1748F" w:rsidRPr="0037388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добросовестное и качественное выполнение полномочий, предусмотренных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Вновь избранным главам муниципального образования, премия выплачивается пропорционально отработанному времени.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Решение о выплате премии оформляется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72D0">
        <w:rPr>
          <w:rFonts w:ascii="Times New Roman" w:hAnsi="Times New Roman" w:cs="Times New Roman"/>
          <w:sz w:val="28"/>
          <w:szCs w:val="28"/>
        </w:rPr>
        <w:t xml:space="preserve">принятого во исполнение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 сельсовет Саракташского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8F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7D16CF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F1748F" w:rsidRPr="007D16CF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1. Премия является мерой поощрения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и выплачивается по результатам работы за год в размере </w:t>
      </w:r>
      <w:r>
        <w:rPr>
          <w:rFonts w:ascii="Times New Roman" w:hAnsi="Times New Roman"/>
          <w:sz w:val="28"/>
          <w:szCs w:val="28"/>
        </w:rPr>
        <w:t xml:space="preserve"> до одного </w:t>
      </w:r>
      <w:r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>
        <w:rPr>
          <w:rFonts w:ascii="Times New Roman" w:hAnsi="Times New Roman"/>
          <w:sz w:val="28"/>
          <w:szCs w:val="28"/>
        </w:rPr>
        <w:t xml:space="preserve"> в пределах средств фонда оплаты труда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2. Основанием (условием) для выплаты премии по результатам работы за год является положительная (удовлетворительная) оценка 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установленная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5972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Бурунчинский сельсовет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3. В случае признания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 сельсовет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по итогам заслушивания его ежегодного отчета, указанного в пункте 2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>, не удовлетворительной, премия по результатам работы за год не выплачивается.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 xml:space="preserve">, принятого во исполнение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 сельсовет Саракташского района Оренбургской области</w:t>
      </w:r>
      <w:r w:rsidRPr="005972D0">
        <w:rPr>
          <w:rFonts w:ascii="Times New Roman" w:hAnsi="Times New Roman"/>
          <w:sz w:val="28"/>
          <w:szCs w:val="28"/>
        </w:rPr>
        <w:t xml:space="preserve"> о положительной (удовлетворительной) оценке деятельности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по результатам его работы за год.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Pr="00DE12DA" w:rsidRDefault="00F1748F" w:rsidP="00F1748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E12DA">
        <w:rPr>
          <w:rFonts w:ascii="Times New Roman" w:hAnsi="Times New Roman"/>
          <w:sz w:val="28"/>
          <w:szCs w:val="28"/>
        </w:rPr>
        <w:t>. Материальная помощь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выплачивается на основании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Pr="00DE12DA">
        <w:rPr>
          <w:rFonts w:ascii="Times New Roman" w:hAnsi="Times New Roman"/>
          <w:sz w:val="28"/>
          <w:szCs w:val="28"/>
        </w:rPr>
        <w:t xml:space="preserve">одного </w:t>
      </w:r>
      <w:r w:rsidRPr="005972D0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оклада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 xml:space="preserve">(отца, матери, родных </w:t>
      </w:r>
      <w:r w:rsidRPr="005972D0">
        <w:rPr>
          <w:rFonts w:ascii="Times New Roman" w:hAnsi="Times New Roman" w:cs="Times New Roman"/>
          <w:sz w:val="28"/>
          <w:szCs w:val="28"/>
        </w:rPr>
        <w:lastRenderedPageBreak/>
        <w:t>братьев и (или) сестер, дедушки, бабушки, детей, супруга (супруги)).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8F" w:rsidRPr="0037388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8F" w:rsidRPr="00330B01" w:rsidRDefault="00F1748F" w:rsidP="00F1748F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 издается на основании документов, подтверждающих обстоятельства, указанные в пункте 1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раздела, и </w:t>
      </w:r>
      <w:r w:rsidRPr="005972D0">
        <w:rPr>
          <w:rFonts w:ascii="Times New Roman" w:hAnsi="Times New Roman"/>
          <w:sz w:val="28"/>
          <w:szCs w:val="28"/>
        </w:rPr>
        <w:t xml:space="preserve">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Бурунчинскийсельсовет Саракташского района Оренбургской области. 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Копии соответствующих документов прилагаются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помощи.</w:t>
      </w:r>
    </w:p>
    <w:p w:rsidR="00F1748F" w:rsidRPr="005972D0" w:rsidRDefault="00F1748F" w:rsidP="00F1748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F1748F" w:rsidRDefault="00F1748F" w:rsidP="00F174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38"/>
      <w:bookmarkEnd w:id="7"/>
    </w:p>
    <w:p w:rsidR="00F1748F" w:rsidRPr="00192EF5" w:rsidRDefault="00F1748F" w:rsidP="00F174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2EF5">
        <w:rPr>
          <w:rFonts w:ascii="Times New Roman" w:hAnsi="Times New Roman" w:cs="Times New Roman"/>
          <w:sz w:val="28"/>
          <w:szCs w:val="28"/>
        </w:rPr>
        <w:t>. Формирование фонда оплаты труда лиц, замещающих муниципальную должность (главы муниципального образования)</w:t>
      </w:r>
    </w:p>
    <w:p w:rsidR="00F1748F" w:rsidRPr="006F671B" w:rsidRDefault="00F1748F" w:rsidP="00F174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748F" w:rsidRPr="009B4476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</w:t>
      </w:r>
      <w:r w:rsidRPr="009B4476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F1748F" w:rsidRPr="0037388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F1748F" w:rsidRPr="00373887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F1748F" w:rsidRDefault="00F1748F" w:rsidP="00F1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8F" w:rsidRPr="00002CF0" w:rsidRDefault="00F1748F" w:rsidP="00F1748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FD"/>
    <w:rsid w:val="000455B2"/>
    <w:rsid w:val="00392214"/>
    <w:rsid w:val="003C1946"/>
    <w:rsid w:val="003E4568"/>
    <w:rsid w:val="004015E3"/>
    <w:rsid w:val="00496EEA"/>
    <w:rsid w:val="005D31DD"/>
    <w:rsid w:val="00766C3F"/>
    <w:rsid w:val="008C0A66"/>
    <w:rsid w:val="008C6842"/>
    <w:rsid w:val="009319C8"/>
    <w:rsid w:val="009441BE"/>
    <w:rsid w:val="00A61150"/>
    <w:rsid w:val="00AF07FD"/>
    <w:rsid w:val="00B943FD"/>
    <w:rsid w:val="00D12F2C"/>
    <w:rsid w:val="00F1748F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AC50-9801-40BC-9980-9A95B22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7FD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F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1748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basedOn w:val="a0"/>
    <w:uiPriority w:val="99"/>
    <w:semiHidden/>
    <w:rsid w:val="00F1748F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1748F"/>
    <w:rPr>
      <w:rFonts w:eastAsia="Times New Roman" w:cs="Calibri"/>
      <w:sz w:val="22"/>
      <w:lang w:val="ru-RU" w:eastAsia="ru-RU" w:bidi="ar-SA"/>
    </w:rPr>
  </w:style>
  <w:style w:type="paragraph" w:styleId="a7">
    <w:name w:val="Normal (Web)"/>
    <w:basedOn w:val="a"/>
    <w:uiPriority w:val="99"/>
    <w:rsid w:val="00F17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F55B5AC06DB7F197A12002B2FBC6799DB5A4AAEC4834D520947F2F948599BC65C4F8E441722B329792CF653697D262F453AAE25D5874D21F74A53HDj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415-A709-4E11-92A1-FC81D50B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13125</CharactersWithSpaces>
  <SharedDoc>false</SharedDoc>
  <HLinks>
    <vt:vector size="36" baseType="variant"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consultantplus://offline/ref=086F55B5AC06DB7F197A12002B2FBC6799DB5A4AAEC4834D520947F2F948599BC65C4F8E441722B329792CF653697D262F453AAE25D5874D21F74A53HDj3O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1638526</vt:i4>
      </vt:variant>
      <vt:variant>
        <vt:i4>6</vt:i4>
      </vt:variant>
      <vt:variant>
        <vt:i4>0</vt:i4>
      </vt:variant>
      <vt:variant>
        <vt:i4>5</vt:i4>
      </vt:variant>
      <vt:variant>
        <vt:lpwstr>C:\Users\User\AppData\Local\Opera Mail\Opera Mail\temporary_downloads\Положение о мун. контроле по благоустройству 2021 .rtf</vt:lpwstr>
      </vt:variant>
      <vt:variant>
        <vt:lpwstr>Par36</vt:lpwstr>
      </vt:variant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2021-11-12T04:35:00Z</cp:lastPrinted>
  <dcterms:created xsi:type="dcterms:W3CDTF">2021-11-18T04:00:00Z</dcterms:created>
  <dcterms:modified xsi:type="dcterms:W3CDTF">2021-11-18T04:00:00Z</dcterms:modified>
</cp:coreProperties>
</file>