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38" w:rsidRPr="00D35B38" w:rsidRDefault="00D35B38" w:rsidP="00D35B38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56"/>
          <w:szCs w:val="56"/>
          <w:lang w:eastAsia="ru-RU"/>
        </w:rPr>
      </w:pPr>
      <w:r w:rsidRPr="00D35B38">
        <w:rPr>
          <w:rFonts w:ascii="Conv_PFDINTEXTCONDPRO-MEDIUM" w:eastAsia="Times New Roman" w:hAnsi="Conv_PFDINTEXTCONDPRO-MEDIUM" w:cs="Arial"/>
          <w:color w:val="405965"/>
          <w:kern w:val="36"/>
          <w:sz w:val="56"/>
          <w:szCs w:val="56"/>
          <w:lang w:eastAsia="ru-RU"/>
        </w:rPr>
        <w:t>С 2022 года изменится налогообложение некоторых видов имущества физических лиц</w:t>
      </w:r>
    </w:p>
    <w:p w:rsidR="00D35B38" w:rsidRPr="00D35B38" w:rsidRDefault="00D35B38" w:rsidP="00D35B3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35B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Дата публикации: 30.12.2021 10:00</w:t>
      </w:r>
    </w:p>
    <w:p w:rsidR="00D35B38" w:rsidRPr="00D35B38" w:rsidRDefault="00D35B38" w:rsidP="00D35B3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В 2022 году налоговые органы при исчислении налогов за 2021 год в отношении транспортных средств и объектов недвижимости физических лиц будут применять следующие основные изменения.</w:t>
      </w:r>
    </w:p>
    <w:p w:rsidR="00D35B38" w:rsidRPr="00D35B38" w:rsidRDefault="00D35B38" w:rsidP="00D35B3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 транспортному налогу:</w:t>
      </w:r>
    </w:p>
    <w:p w:rsidR="00D35B38" w:rsidRPr="00D35B38" w:rsidRDefault="00D35B38" w:rsidP="00D35B38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будет использоваться Перечень легковых автомобилей средней стоимостью от 3 </w:t>
      </w:r>
      <w:proofErr w:type="gramStart"/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млн</w:t>
      </w:r>
      <w:proofErr w:type="gramEnd"/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руб. за 2021 год, </w:t>
      </w:r>
      <w:hyperlink r:id="rId6" w:anchor="!perechen_legkovyh_avtomobiley_sredney_stoimostyu_ot_3_millionov_rubley_podlezhashhiy_primeneniyu_v_ocherednom_nalogovom_periode_2021_god" w:tgtFrame="_blank" w:history="1">
        <w:r w:rsidRPr="00D35B38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размещенный</w:t>
        </w:r>
      </w:hyperlink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 на сайте </w:t>
      </w:r>
      <w:proofErr w:type="spellStart"/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Минпромторга</w:t>
      </w:r>
      <w:proofErr w:type="spellEnd"/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России. Налог на вошедшие в Перечень автомашины рассчитывается с применением </w:t>
      </w:r>
      <w:hyperlink r:id="rId7" w:tgtFrame="_blank" w:history="1">
        <w:r w:rsidRPr="00D35B38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коэффициентов</w:t>
        </w:r>
      </w:hyperlink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 от 1,1 до 3;</w:t>
      </w:r>
    </w:p>
    <w:p w:rsidR="00D35B38" w:rsidRPr="00D35B38" w:rsidRDefault="00D35B38" w:rsidP="00D35B38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вводится упрощенный порядок прекращения налогообложения для транспортного средства, принудительно изъятого у собственника по основаниям, предусмотренным федеральным законом. Для прекращения исчисления налога налогоплательщик вправе подать в налоговый орган </w:t>
      </w:r>
      <w:hyperlink r:id="rId8" w:anchor="block_362304" w:tgtFrame="_blank" w:history="1">
        <w:r w:rsidRPr="00D35B38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заявление</w:t>
        </w:r>
      </w:hyperlink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, а также документы, подтверждающие принудительное изъятие транспортного средства;</w:t>
      </w:r>
    </w:p>
    <w:p w:rsidR="00D35B38" w:rsidRPr="00D35B38" w:rsidRDefault="00D35B38" w:rsidP="00D35B38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при расчете налога будут применяться изменения в системе налоговых ставок и льгот в соответствии с законами субъектов РФ по месту нахождения транспортных средств.</w:t>
      </w:r>
    </w:p>
    <w:p w:rsidR="00D35B38" w:rsidRPr="00D35B38" w:rsidRDefault="00D35B38" w:rsidP="00D35B3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 земельному налогу:</w:t>
      </w:r>
    </w:p>
    <w:p w:rsidR="00D35B38" w:rsidRPr="00D35B38" w:rsidRDefault="00D35B38" w:rsidP="00D35B38">
      <w:pPr>
        <w:numPr>
          <w:ilvl w:val="0"/>
          <w:numId w:val="2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вступят в силу </w:t>
      </w:r>
      <w:hyperlink r:id="rId9" w:anchor="block_39672" w:tgtFrame="_blank" w:history="1">
        <w:r w:rsidRPr="00D35B38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правила</w:t>
        </w:r>
      </w:hyperlink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 расчета налога в случае выдачи органами </w:t>
      </w:r>
      <w:proofErr w:type="spellStart"/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госземнадзора</w:t>
      </w:r>
      <w:proofErr w:type="spellEnd"/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предписаний об устранении нарушений обязательных требований к использованию и охране объектов земельных отношений:</w:t>
      </w:r>
    </w:p>
    <w:p w:rsidR="00D35B38" w:rsidRPr="00D35B38" w:rsidRDefault="00D35B38" w:rsidP="00D35B38">
      <w:pPr>
        <w:numPr>
          <w:ilvl w:val="1"/>
          <w:numId w:val="2"/>
        </w:numPr>
        <w:shd w:val="clear" w:color="auto" w:fill="FFFFFF"/>
        <w:spacing w:after="15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в связи с неиспользованием для сельхозпроизводства земельного участка, относящегося к землям </w:t>
      </w:r>
      <w:proofErr w:type="spellStart"/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сельхозназначения</w:t>
      </w:r>
      <w:proofErr w:type="spellEnd"/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или к землям в составе зон </w:t>
      </w:r>
      <w:proofErr w:type="spellStart"/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сельхозиспользования</w:t>
      </w:r>
      <w:proofErr w:type="spellEnd"/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;</w:t>
      </w:r>
    </w:p>
    <w:p w:rsidR="00D35B38" w:rsidRPr="00D35B38" w:rsidRDefault="00D35B38" w:rsidP="00D35B38">
      <w:pPr>
        <w:numPr>
          <w:ilvl w:val="1"/>
          <w:numId w:val="2"/>
        </w:numPr>
        <w:shd w:val="clear" w:color="auto" w:fill="FFFFFF"/>
        <w:spacing w:after="15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в связи с использованием не по целевому назначению (неиспользованием по целевому назначению) в предпринимательской деятельности земельного участка, предназначенного для индивидуального жилищного строительства, ведения личного подсобного хозяйства, садоводства или огородничества.</w:t>
      </w:r>
    </w:p>
    <w:p w:rsidR="00D35B38" w:rsidRPr="00D35B38" w:rsidRDefault="00D35B38" w:rsidP="00D35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В такой ситуации исчисление налога будет производиться по ставке до 1,5% </w:t>
      </w:r>
      <w:hyperlink r:id="rId10" w:anchor="block_394012" w:tgtFrame="_blank" w:history="1">
        <w:r w:rsidRPr="00D35B38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для «прочих земель»</w:t>
        </w:r>
      </w:hyperlink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 со дня нарушения обязательных требований к использованию и охране объектов земельных отношений либо со дня обнаружения таких нарушений и до первого числа месяца, в котором уполномоченный орган установит факт их устранения.</w:t>
      </w:r>
    </w:p>
    <w:p w:rsidR="00D35B38" w:rsidRPr="00D35B38" w:rsidRDefault="00D35B38" w:rsidP="00D35B38">
      <w:pPr>
        <w:numPr>
          <w:ilvl w:val="0"/>
          <w:numId w:val="2"/>
        </w:numPr>
        <w:shd w:val="clear" w:color="auto" w:fill="FFFFFF"/>
        <w:spacing w:after="15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будут применяться изменения в системе налоговых ставок и льгот в соответствии с нормативными актами муниципальных образований (законами городов федерального значения), действующими с 2021 года по месту нахождения земельных участков;</w:t>
      </w:r>
    </w:p>
    <w:p w:rsidR="00D35B38" w:rsidRPr="00D35B38" w:rsidRDefault="00D35B38" w:rsidP="00D35B38">
      <w:pPr>
        <w:numPr>
          <w:ilvl w:val="0"/>
          <w:numId w:val="2"/>
        </w:numPr>
        <w:shd w:val="clear" w:color="auto" w:fill="FFFFFF"/>
        <w:spacing w:after="15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lastRenderedPageBreak/>
        <w:t xml:space="preserve">в ряде регионов будут применяться новые результаты государственной кадастровой оценки земель, вступившие в силу с 2021 года. С этими результатами можно ознакомиться, получив выписку из Единого государственного реестра недвижимости, в МФЦ или на сайте </w:t>
      </w:r>
      <w:proofErr w:type="spellStart"/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Росреестра</w:t>
      </w:r>
      <w:proofErr w:type="spellEnd"/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.</w:t>
      </w:r>
    </w:p>
    <w:p w:rsidR="00D35B38" w:rsidRPr="00D35B38" w:rsidRDefault="00D35B38" w:rsidP="00D35B3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 налогу на имущество физических лиц:</w:t>
      </w:r>
    </w:p>
    <w:p w:rsidR="00D35B38" w:rsidRPr="00D35B38" w:rsidRDefault="00D35B38" w:rsidP="00D35B38">
      <w:pPr>
        <w:numPr>
          <w:ilvl w:val="0"/>
          <w:numId w:val="3"/>
        </w:numPr>
        <w:shd w:val="clear" w:color="auto" w:fill="FFFFFF"/>
        <w:spacing w:after="15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для расчета налога во всех регионах будет применяться кадастровая стоимость недвижимости, при этом для исчисления налога будут использоваться понижающие коэффициенты:</w:t>
      </w:r>
    </w:p>
    <w:p w:rsidR="00D35B38" w:rsidRPr="00D35B38" w:rsidRDefault="00D35B38" w:rsidP="00D35B38">
      <w:pPr>
        <w:numPr>
          <w:ilvl w:val="1"/>
          <w:numId w:val="3"/>
        </w:numPr>
        <w:shd w:val="clear" w:color="auto" w:fill="FFFFFF"/>
        <w:spacing w:after="15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0,2 – для Севастополя, где кадастровая стоимость применяется в качестве налоговой базы первый год;</w:t>
      </w:r>
    </w:p>
    <w:p w:rsidR="00D35B38" w:rsidRPr="00D35B38" w:rsidRDefault="00D35B38" w:rsidP="00D35B38">
      <w:pPr>
        <w:numPr>
          <w:ilvl w:val="1"/>
          <w:numId w:val="3"/>
        </w:numPr>
        <w:shd w:val="clear" w:color="auto" w:fill="FFFFFF"/>
        <w:spacing w:after="15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0,4 (в 2021 году был 0,2) – для 10 регионов: республик Алтай и Крым, Алтайского и Приморского краев, Волгоградской, Иркутской, Курганской, Свердловской, Томской областей и Чукотского автономного округа, где кадастровая стоимость применяется в качестве налоговой базы второй год;</w:t>
      </w:r>
    </w:p>
    <w:p w:rsidR="00D35B38" w:rsidRPr="00D35B38" w:rsidRDefault="00D35B38" w:rsidP="00D35B38">
      <w:pPr>
        <w:numPr>
          <w:ilvl w:val="1"/>
          <w:numId w:val="3"/>
        </w:numPr>
        <w:shd w:val="clear" w:color="auto" w:fill="FFFFFF"/>
        <w:spacing w:after="15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0,6 (в 2021 году был 0,4) – для четырех регионов: республик Дагестан и Северная Осетия - Алания, Красноярского края, Смоленской области, где кадастровая стоимость применяется в качестве налоговой базы третий год;</w:t>
      </w:r>
    </w:p>
    <w:p w:rsidR="00D35B38" w:rsidRPr="00D35B38" w:rsidRDefault="00D35B38" w:rsidP="00D35B38">
      <w:pPr>
        <w:numPr>
          <w:ilvl w:val="1"/>
          <w:numId w:val="3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десятипроцентного ограничения роста налога по сравнению с предшествующим налоговым периодом – для регионов, где кадастровая стоимость применяется в качестве налоговой базы третий и последующие годы. </w:t>
      </w:r>
      <w:proofErr w:type="gramStart"/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Исключение - объекты, включенные в перечень, определяемый в соответствии с </w:t>
      </w:r>
      <w:hyperlink r:id="rId11" w:anchor="block_37827" w:tgtFrame="_blank" w:history="1">
        <w:r w:rsidRPr="00D35B38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п. 7 ст. 378.2 НК РФ</w:t>
        </w:r>
      </w:hyperlink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, а также объекты, предусмотренные </w:t>
      </w:r>
      <w:proofErr w:type="spellStart"/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fldChar w:fldCharType="begin"/>
      </w: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instrText xml:space="preserve"> HYPERLINK "https://nalog.garant.ru/fns/nk/646882137a6a76f226bdfaff58df1005/" \l "p_25392" \t "_blank" </w:instrText>
      </w: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fldChar w:fldCharType="separate"/>
      </w:r>
      <w:r w:rsidRPr="00D35B38">
        <w:rPr>
          <w:rFonts w:ascii="Arial" w:eastAsia="Times New Roman" w:hAnsi="Arial" w:cs="Arial"/>
          <w:color w:val="0066B3"/>
          <w:sz w:val="24"/>
          <w:szCs w:val="24"/>
          <w:lang w:eastAsia="ru-RU"/>
        </w:rPr>
        <w:t>абз</w:t>
      </w:r>
      <w:proofErr w:type="spellEnd"/>
      <w:r w:rsidRPr="00D35B38">
        <w:rPr>
          <w:rFonts w:ascii="Arial" w:eastAsia="Times New Roman" w:hAnsi="Arial" w:cs="Arial"/>
          <w:color w:val="0066B3"/>
          <w:sz w:val="24"/>
          <w:szCs w:val="24"/>
          <w:lang w:eastAsia="ru-RU"/>
        </w:rPr>
        <w:t>. 2 п. 10 ст. 378.2 НК РФ</w:t>
      </w: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fldChar w:fldCharType="end"/>
      </w: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;</w:t>
      </w:r>
      <w:proofErr w:type="gramEnd"/>
    </w:p>
    <w:p w:rsidR="00D35B38" w:rsidRPr="00D35B38" w:rsidRDefault="00D35B38" w:rsidP="00D35B38">
      <w:pPr>
        <w:numPr>
          <w:ilvl w:val="1"/>
          <w:numId w:val="3"/>
        </w:numPr>
        <w:shd w:val="clear" w:color="auto" w:fill="FFFFFF"/>
        <w:spacing w:after="15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0,6 в отношении объекта, образованного начиная с четвертого налогового периода, в котором налоговая база определяется в соответствующем муниципальном образовании (городе федерального значения) по кадастровой стоимости. Коэффициент применяется к первому налоговому периоду, за который исчисляется налог в отношении этого объекта (за исключением указанных выше объектов);</w:t>
      </w:r>
    </w:p>
    <w:p w:rsidR="00D35B38" w:rsidRPr="00D35B38" w:rsidRDefault="00D35B38" w:rsidP="00D35B38">
      <w:pPr>
        <w:numPr>
          <w:ilvl w:val="0"/>
          <w:numId w:val="3"/>
        </w:numPr>
        <w:shd w:val="clear" w:color="auto" w:fill="FFFFFF"/>
        <w:spacing w:after="15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в ряде регионов будут применяться новые результаты государственной кадастровой оценки объектов недвижимости, вступившие в силу с 2021 года. С ними можно ознакомиться, получив выписку из Единого государственного реестра недвижимости, в МФЦ или на сайте </w:t>
      </w:r>
      <w:proofErr w:type="spellStart"/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Росреестра</w:t>
      </w:r>
      <w:proofErr w:type="spellEnd"/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;</w:t>
      </w:r>
    </w:p>
    <w:p w:rsidR="00D35B38" w:rsidRPr="00D35B38" w:rsidRDefault="00D35B38" w:rsidP="00D35B38">
      <w:pPr>
        <w:numPr>
          <w:ilvl w:val="0"/>
          <w:numId w:val="3"/>
        </w:numPr>
        <w:shd w:val="clear" w:color="auto" w:fill="FFFFFF"/>
        <w:spacing w:after="15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будут применяться изменения в системе налоговых ставок и льгот в соответствии с нормативными актами муниципальных образований (городов федерального значения), действующими с 2021 года по месту нахождения объектов налогообложения.</w:t>
      </w:r>
    </w:p>
    <w:p w:rsidR="00D35B38" w:rsidRPr="00D35B38" w:rsidRDefault="00D35B38" w:rsidP="00D35B38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 информацией о соответствующих изменениях можно ознакомиться в рубрике «</w:t>
      </w:r>
      <w:hyperlink r:id="rId12" w:tgtFrame="_blank" w:history="1">
        <w:r w:rsidRPr="00D35B38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Справочная информация о ставках и льготах по имущественным налогам</w:t>
        </w:r>
      </w:hyperlink>
      <w:r w:rsidRPr="00D35B38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».</w:t>
      </w:r>
    </w:p>
    <w:p w:rsidR="00FB2BAE" w:rsidRDefault="00D35B38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AC12937" wp14:editId="6F57122C">
            <wp:extent cx="3399110" cy="1911066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107" cy="191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7E1C"/>
    <w:multiLevelType w:val="multilevel"/>
    <w:tmpl w:val="B03A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87493"/>
    <w:multiLevelType w:val="multilevel"/>
    <w:tmpl w:val="0758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F5BB5"/>
    <w:multiLevelType w:val="multilevel"/>
    <w:tmpl w:val="F8CC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D3"/>
    <w:rsid w:val="001E08D3"/>
    <w:rsid w:val="00C916FF"/>
    <w:rsid w:val="00D35B38"/>
    <w:rsid w:val="00FB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B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5B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B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5B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88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41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07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447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7698803/5cd0adf6ff1d07dffd68070d0f2219b8/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0900200/5cd0adf6ff1d07dffd68070d0f2219b8/" TargetMode="External"/><Relationship Id="rId12" Type="http://schemas.openxmlformats.org/officeDocument/2006/relationships/hyperlink" Target="https://www.nalog.gov.ru/rn77/service/ta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promtorg.gov.ru/docs/" TargetMode="External"/><Relationship Id="rId11" Type="http://schemas.openxmlformats.org/officeDocument/2006/relationships/hyperlink" Target="https://nalog.garant.ru/fns/nk/646882137a6a76f226bdfaff58df100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0900200/925634f2f8bcd981eb812c49160bcd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7698803/4477709aee548021b043184dadbd377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3</cp:revision>
  <dcterms:created xsi:type="dcterms:W3CDTF">2022-01-10T06:25:00Z</dcterms:created>
  <dcterms:modified xsi:type="dcterms:W3CDTF">2022-01-10T06:41:00Z</dcterms:modified>
</cp:coreProperties>
</file>